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7CF751" w14:textId="18803E73" w:rsidR="00B05C7C" w:rsidRPr="00134BF7" w:rsidRDefault="00B05C7C" w:rsidP="0019309F">
      <w:pPr>
        <w:pStyle w:val="Title"/>
      </w:pPr>
      <w:r>
        <w:t>Statutory Review</w:t>
      </w:r>
    </w:p>
    <w:p w14:paraId="3E8C22EE" w14:textId="77777777" w:rsidR="002414DB" w:rsidRPr="00526A3E" w:rsidRDefault="002414DB" w:rsidP="00526A3E">
      <w:pPr>
        <w:pStyle w:val="Subheading"/>
      </w:pPr>
      <w:r w:rsidRPr="00526A3E">
        <w:t>Residential Parks (Long-stay Tenants) Act 2006</w:t>
      </w:r>
    </w:p>
    <w:p w14:paraId="3370D9F9" w14:textId="77777777" w:rsidR="00C13A96" w:rsidRDefault="00C13A96" w:rsidP="0019309F">
      <w:pPr>
        <w:rPr>
          <w:rFonts w:cs="Arial"/>
        </w:rPr>
      </w:pPr>
    </w:p>
    <w:p w14:paraId="0B66F3D6" w14:textId="77777777" w:rsidR="00C13A96" w:rsidRPr="00240EE5" w:rsidRDefault="00C13A96" w:rsidP="0019309F">
      <w:pPr>
        <w:rPr>
          <w:rFonts w:cs="Arial"/>
        </w:rPr>
        <w:sectPr w:rsidR="00C13A96" w:rsidRPr="00240EE5" w:rsidSect="000D0759">
          <w:headerReference w:type="default" r:id="rId9"/>
          <w:headerReference w:type="first" r:id="rId10"/>
          <w:pgSz w:w="11900" w:h="16840" w:code="9"/>
          <w:pgMar w:top="3119" w:right="1134" w:bottom="1134" w:left="1134" w:header="0" w:footer="0" w:gutter="0"/>
          <w:pgNumType w:start="0"/>
          <w:cols w:space="709"/>
          <w:titlePg/>
          <w:docGrid w:linePitch="326"/>
        </w:sectPr>
      </w:pPr>
    </w:p>
    <w:p w14:paraId="7AEE6091" w14:textId="77777777" w:rsidR="00E04595" w:rsidRPr="005B6C74" w:rsidRDefault="00C13A96" w:rsidP="0019309F">
      <w:pPr>
        <w:pStyle w:val="TOC1"/>
        <w:rPr>
          <w:sz w:val="42"/>
          <w:szCs w:val="42"/>
        </w:rPr>
      </w:pPr>
      <w:bookmarkStart w:id="0" w:name="_Toc215648598"/>
      <w:r w:rsidRPr="005B6C74">
        <w:rPr>
          <w:sz w:val="42"/>
          <w:szCs w:val="42"/>
        </w:rPr>
        <w:lastRenderedPageBreak/>
        <w:t>Table of contents</w:t>
      </w:r>
      <w:bookmarkEnd w:id="0"/>
    </w:p>
    <w:p w14:paraId="0BEB0B32" w14:textId="723799A1" w:rsidR="001472FD" w:rsidRDefault="00C13A96" w:rsidP="0019309F">
      <w:pPr>
        <w:pStyle w:val="TOC1"/>
        <w:rPr>
          <w:rFonts w:asciiTheme="minorHAnsi" w:eastAsiaTheme="minorEastAsia" w:hAnsiTheme="minorHAnsi" w:cstheme="minorBidi"/>
          <w:b w:val="0"/>
          <w:noProof/>
          <w:color w:val="auto"/>
          <w:kern w:val="2"/>
          <w:sz w:val="24"/>
          <w:lang w:eastAsia="en-AU"/>
          <w14:ligatures w14:val="standardContextual"/>
        </w:rPr>
      </w:pPr>
      <w:r w:rsidRPr="00240EE5">
        <w:rPr>
          <w:bCs/>
          <w:caps/>
          <w:szCs w:val="32"/>
        </w:rPr>
        <w:fldChar w:fldCharType="begin"/>
      </w:r>
      <w:r w:rsidRPr="00240EE5">
        <w:rPr>
          <w:caps/>
        </w:rPr>
        <w:instrText xml:space="preserve"> TOC \o "3-3" \h \z \t "Heading 1,1,Heading 2,2" </w:instrText>
      </w:r>
      <w:r w:rsidRPr="00240EE5">
        <w:rPr>
          <w:bCs/>
          <w:caps/>
          <w:szCs w:val="32"/>
        </w:rPr>
        <w:fldChar w:fldCharType="separate"/>
      </w:r>
      <w:hyperlink w:anchor="_Toc219884850" w:history="1">
        <w:r w:rsidR="001472FD" w:rsidRPr="00EA7DB7">
          <w:rPr>
            <w:rStyle w:val="Hyperlink"/>
            <w:noProof/>
          </w:rPr>
          <w:t>1.</w:t>
        </w:r>
        <w:r w:rsidR="001472FD">
          <w:rPr>
            <w:rFonts w:asciiTheme="minorHAnsi" w:eastAsiaTheme="minorEastAsia" w:hAnsiTheme="minorHAnsi" w:cstheme="minorBidi"/>
            <w:b w:val="0"/>
            <w:noProof/>
            <w:color w:val="auto"/>
            <w:kern w:val="2"/>
            <w:sz w:val="24"/>
            <w:lang w:eastAsia="en-AU"/>
            <w14:ligatures w14:val="standardContextual"/>
          </w:rPr>
          <w:tab/>
        </w:r>
        <w:r w:rsidR="001472FD" w:rsidRPr="00EA7DB7">
          <w:rPr>
            <w:rStyle w:val="Hyperlink"/>
            <w:noProof/>
          </w:rPr>
          <w:t>Background</w:t>
        </w:r>
        <w:r w:rsidR="001472FD">
          <w:rPr>
            <w:noProof/>
            <w:webHidden/>
          </w:rPr>
          <w:tab/>
        </w:r>
        <w:r w:rsidR="001472FD">
          <w:rPr>
            <w:noProof/>
            <w:webHidden/>
          </w:rPr>
          <w:fldChar w:fldCharType="begin"/>
        </w:r>
        <w:r w:rsidR="001472FD">
          <w:rPr>
            <w:noProof/>
            <w:webHidden/>
          </w:rPr>
          <w:instrText xml:space="preserve"> PAGEREF _Toc219884850 \h </w:instrText>
        </w:r>
        <w:r w:rsidR="001472FD">
          <w:rPr>
            <w:noProof/>
            <w:webHidden/>
          </w:rPr>
        </w:r>
        <w:r w:rsidR="001472FD">
          <w:rPr>
            <w:noProof/>
            <w:webHidden/>
          </w:rPr>
          <w:fldChar w:fldCharType="separate"/>
        </w:r>
        <w:r w:rsidR="00AA0D6A">
          <w:rPr>
            <w:noProof/>
            <w:webHidden/>
          </w:rPr>
          <w:t>3</w:t>
        </w:r>
        <w:r w:rsidR="001472FD">
          <w:rPr>
            <w:noProof/>
            <w:webHidden/>
          </w:rPr>
          <w:fldChar w:fldCharType="end"/>
        </w:r>
      </w:hyperlink>
    </w:p>
    <w:p w14:paraId="531936C8" w14:textId="5BF18E2F" w:rsidR="001472FD" w:rsidRPr="001472FD" w:rsidRDefault="001472FD" w:rsidP="0019309F">
      <w:pPr>
        <w:pStyle w:val="TOC2"/>
        <w:rPr>
          <w:rFonts w:asciiTheme="minorHAnsi" w:eastAsiaTheme="minorEastAsia" w:hAnsiTheme="minorHAnsi" w:cstheme="minorBidi"/>
          <w:b w:val="0"/>
          <w:bCs/>
          <w:color w:val="auto"/>
          <w:kern w:val="2"/>
          <w:lang w:eastAsia="en-AU"/>
          <w14:ligatures w14:val="standardContextual"/>
        </w:rPr>
      </w:pPr>
      <w:hyperlink w:anchor="_Toc219884851" w:history="1">
        <w:r w:rsidRPr="001472FD">
          <w:rPr>
            <w:rStyle w:val="Hyperlink"/>
            <w:b w:val="0"/>
            <w:bCs/>
          </w:rPr>
          <w:t>1.1.</w:t>
        </w:r>
        <w:r w:rsidRPr="001472FD">
          <w:rPr>
            <w:rFonts w:asciiTheme="minorHAnsi" w:eastAsiaTheme="minorEastAsia" w:hAnsiTheme="minorHAnsi" w:cstheme="minorBidi"/>
            <w:b w:val="0"/>
            <w:bCs/>
            <w:color w:val="auto"/>
            <w:kern w:val="2"/>
            <w:lang w:eastAsia="en-AU"/>
            <w14:ligatures w14:val="standardContextual"/>
          </w:rPr>
          <w:tab/>
        </w:r>
        <w:r w:rsidRPr="001472FD">
          <w:rPr>
            <w:rStyle w:val="Hyperlink"/>
            <w:b w:val="0"/>
            <w:bCs/>
          </w:rPr>
          <w:t>Introduction</w:t>
        </w:r>
        <w:r w:rsidRPr="001472FD">
          <w:rPr>
            <w:b w:val="0"/>
            <w:bCs/>
            <w:webHidden/>
          </w:rPr>
          <w:tab/>
        </w:r>
        <w:r w:rsidRPr="001472FD">
          <w:rPr>
            <w:b w:val="0"/>
            <w:bCs/>
            <w:webHidden/>
          </w:rPr>
          <w:fldChar w:fldCharType="begin"/>
        </w:r>
        <w:r w:rsidRPr="001472FD">
          <w:rPr>
            <w:b w:val="0"/>
            <w:bCs/>
            <w:webHidden/>
          </w:rPr>
          <w:instrText xml:space="preserve"> PAGEREF _Toc219884851 \h </w:instrText>
        </w:r>
        <w:r w:rsidRPr="001472FD">
          <w:rPr>
            <w:b w:val="0"/>
            <w:bCs/>
            <w:webHidden/>
          </w:rPr>
        </w:r>
        <w:r w:rsidRPr="001472FD">
          <w:rPr>
            <w:b w:val="0"/>
            <w:bCs/>
            <w:webHidden/>
          </w:rPr>
          <w:fldChar w:fldCharType="separate"/>
        </w:r>
        <w:r w:rsidR="00AA0D6A">
          <w:rPr>
            <w:b w:val="0"/>
            <w:bCs/>
            <w:webHidden/>
          </w:rPr>
          <w:t>3</w:t>
        </w:r>
        <w:r w:rsidRPr="001472FD">
          <w:rPr>
            <w:b w:val="0"/>
            <w:bCs/>
            <w:webHidden/>
          </w:rPr>
          <w:fldChar w:fldCharType="end"/>
        </w:r>
      </w:hyperlink>
    </w:p>
    <w:p w14:paraId="09578AA6" w14:textId="5E97CAFB" w:rsidR="001472FD" w:rsidRPr="001472FD" w:rsidRDefault="001472FD" w:rsidP="0019309F">
      <w:pPr>
        <w:pStyle w:val="TOC2"/>
        <w:rPr>
          <w:rFonts w:asciiTheme="minorHAnsi" w:eastAsiaTheme="minorEastAsia" w:hAnsiTheme="minorHAnsi" w:cstheme="minorBidi"/>
          <w:b w:val="0"/>
          <w:bCs/>
          <w:color w:val="auto"/>
          <w:kern w:val="2"/>
          <w:lang w:eastAsia="en-AU"/>
          <w14:ligatures w14:val="standardContextual"/>
        </w:rPr>
      </w:pPr>
      <w:hyperlink w:anchor="_Toc219884852" w:history="1">
        <w:r w:rsidRPr="001472FD">
          <w:rPr>
            <w:rStyle w:val="Hyperlink"/>
            <w:b w:val="0"/>
            <w:bCs/>
          </w:rPr>
          <w:t>1.2.</w:t>
        </w:r>
        <w:r w:rsidRPr="001472FD">
          <w:rPr>
            <w:rFonts w:asciiTheme="minorHAnsi" w:eastAsiaTheme="minorEastAsia" w:hAnsiTheme="minorHAnsi" w:cstheme="minorBidi"/>
            <w:b w:val="0"/>
            <w:bCs/>
            <w:color w:val="auto"/>
            <w:kern w:val="2"/>
            <w:lang w:eastAsia="en-AU"/>
            <w14:ligatures w14:val="standardContextual"/>
          </w:rPr>
          <w:tab/>
        </w:r>
        <w:r w:rsidRPr="001472FD">
          <w:rPr>
            <w:rStyle w:val="Hyperlink"/>
            <w:b w:val="0"/>
            <w:bCs/>
          </w:rPr>
          <w:t xml:space="preserve">Residential </w:t>
        </w:r>
        <w:r w:rsidR="00112900">
          <w:rPr>
            <w:rStyle w:val="Hyperlink"/>
            <w:b w:val="0"/>
            <w:bCs/>
          </w:rPr>
          <w:t>p</w:t>
        </w:r>
        <w:r w:rsidRPr="001472FD">
          <w:rPr>
            <w:rStyle w:val="Hyperlink"/>
            <w:b w:val="0"/>
            <w:bCs/>
          </w:rPr>
          <w:t>arks</w:t>
        </w:r>
        <w:r w:rsidRPr="001472FD">
          <w:rPr>
            <w:b w:val="0"/>
            <w:bCs/>
            <w:webHidden/>
          </w:rPr>
          <w:tab/>
        </w:r>
        <w:r w:rsidRPr="001472FD">
          <w:rPr>
            <w:b w:val="0"/>
            <w:bCs/>
            <w:webHidden/>
          </w:rPr>
          <w:fldChar w:fldCharType="begin"/>
        </w:r>
        <w:r w:rsidRPr="001472FD">
          <w:rPr>
            <w:b w:val="0"/>
            <w:bCs/>
            <w:webHidden/>
          </w:rPr>
          <w:instrText xml:space="preserve"> PAGEREF _Toc219884852 \h </w:instrText>
        </w:r>
        <w:r w:rsidRPr="001472FD">
          <w:rPr>
            <w:b w:val="0"/>
            <w:bCs/>
            <w:webHidden/>
          </w:rPr>
        </w:r>
        <w:r w:rsidRPr="001472FD">
          <w:rPr>
            <w:b w:val="0"/>
            <w:bCs/>
            <w:webHidden/>
          </w:rPr>
          <w:fldChar w:fldCharType="separate"/>
        </w:r>
        <w:r w:rsidR="00AA0D6A">
          <w:rPr>
            <w:b w:val="0"/>
            <w:bCs/>
            <w:webHidden/>
          </w:rPr>
          <w:t>3</w:t>
        </w:r>
        <w:r w:rsidRPr="001472FD">
          <w:rPr>
            <w:b w:val="0"/>
            <w:bCs/>
            <w:webHidden/>
          </w:rPr>
          <w:fldChar w:fldCharType="end"/>
        </w:r>
      </w:hyperlink>
    </w:p>
    <w:p w14:paraId="7E6EBCAC" w14:textId="04F7F162" w:rsidR="001472FD" w:rsidRPr="001472FD" w:rsidRDefault="001472FD" w:rsidP="0019309F">
      <w:pPr>
        <w:pStyle w:val="TOC2"/>
        <w:rPr>
          <w:rFonts w:asciiTheme="minorHAnsi" w:eastAsiaTheme="minorEastAsia" w:hAnsiTheme="minorHAnsi" w:cstheme="minorBidi"/>
          <w:b w:val="0"/>
          <w:bCs/>
          <w:color w:val="auto"/>
          <w:kern w:val="2"/>
          <w:lang w:eastAsia="en-AU"/>
          <w14:ligatures w14:val="standardContextual"/>
        </w:rPr>
      </w:pPr>
      <w:hyperlink w:anchor="_Toc219884853" w:history="1">
        <w:r w:rsidRPr="001472FD">
          <w:rPr>
            <w:rStyle w:val="Hyperlink"/>
            <w:b w:val="0"/>
            <w:bCs/>
          </w:rPr>
          <w:t>1.3.</w:t>
        </w:r>
        <w:r w:rsidRPr="001472FD">
          <w:rPr>
            <w:rFonts w:asciiTheme="minorHAnsi" w:eastAsiaTheme="minorEastAsia" w:hAnsiTheme="minorHAnsi" w:cstheme="minorBidi"/>
            <w:b w:val="0"/>
            <w:bCs/>
            <w:color w:val="auto"/>
            <w:kern w:val="2"/>
            <w:lang w:eastAsia="en-AU"/>
            <w14:ligatures w14:val="standardContextual"/>
          </w:rPr>
          <w:tab/>
        </w:r>
        <w:r w:rsidRPr="001472FD">
          <w:rPr>
            <w:rStyle w:val="Hyperlink"/>
            <w:b w:val="0"/>
            <w:bCs/>
          </w:rPr>
          <w:t xml:space="preserve">Market </w:t>
        </w:r>
        <w:r w:rsidR="00112900">
          <w:rPr>
            <w:rStyle w:val="Hyperlink"/>
            <w:b w:val="0"/>
            <w:bCs/>
          </w:rPr>
          <w:t>o</w:t>
        </w:r>
        <w:r w:rsidRPr="001472FD">
          <w:rPr>
            <w:rStyle w:val="Hyperlink"/>
            <w:b w:val="0"/>
            <w:bCs/>
          </w:rPr>
          <w:t>verview</w:t>
        </w:r>
        <w:r w:rsidRPr="001472FD">
          <w:rPr>
            <w:b w:val="0"/>
            <w:bCs/>
            <w:webHidden/>
          </w:rPr>
          <w:tab/>
        </w:r>
        <w:r w:rsidRPr="001472FD">
          <w:rPr>
            <w:b w:val="0"/>
            <w:bCs/>
            <w:webHidden/>
          </w:rPr>
          <w:fldChar w:fldCharType="begin"/>
        </w:r>
        <w:r w:rsidRPr="001472FD">
          <w:rPr>
            <w:b w:val="0"/>
            <w:bCs/>
            <w:webHidden/>
          </w:rPr>
          <w:instrText xml:space="preserve"> PAGEREF _Toc219884853 \h </w:instrText>
        </w:r>
        <w:r w:rsidRPr="001472FD">
          <w:rPr>
            <w:b w:val="0"/>
            <w:bCs/>
            <w:webHidden/>
          </w:rPr>
        </w:r>
        <w:r w:rsidRPr="001472FD">
          <w:rPr>
            <w:b w:val="0"/>
            <w:bCs/>
            <w:webHidden/>
          </w:rPr>
          <w:fldChar w:fldCharType="separate"/>
        </w:r>
        <w:r w:rsidR="00AA0D6A">
          <w:rPr>
            <w:b w:val="0"/>
            <w:bCs/>
            <w:webHidden/>
          </w:rPr>
          <w:t>4</w:t>
        </w:r>
        <w:r w:rsidRPr="001472FD">
          <w:rPr>
            <w:b w:val="0"/>
            <w:bCs/>
            <w:webHidden/>
          </w:rPr>
          <w:fldChar w:fldCharType="end"/>
        </w:r>
      </w:hyperlink>
    </w:p>
    <w:p w14:paraId="7948FF6D" w14:textId="45DB3FFE" w:rsidR="001472FD" w:rsidRPr="001472FD" w:rsidRDefault="001472FD" w:rsidP="0019309F">
      <w:pPr>
        <w:pStyle w:val="TOC2"/>
        <w:rPr>
          <w:rFonts w:asciiTheme="minorHAnsi" w:eastAsiaTheme="minorEastAsia" w:hAnsiTheme="minorHAnsi" w:cstheme="minorBidi"/>
          <w:b w:val="0"/>
          <w:bCs/>
          <w:color w:val="auto"/>
          <w:kern w:val="2"/>
          <w:lang w:eastAsia="en-AU"/>
          <w14:ligatures w14:val="standardContextual"/>
        </w:rPr>
      </w:pPr>
      <w:hyperlink w:anchor="_Toc219884854" w:history="1">
        <w:r w:rsidRPr="001472FD">
          <w:rPr>
            <w:rStyle w:val="Hyperlink"/>
            <w:b w:val="0"/>
            <w:bCs/>
          </w:rPr>
          <w:t>1.4.</w:t>
        </w:r>
        <w:r w:rsidRPr="001472FD">
          <w:rPr>
            <w:rFonts w:asciiTheme="minorHAnsi" w:eastAsiaTheme="minorEastAsia" w:hAnsiTheme="minorHAnsi" w:cstheme="minorBidi"/>
            <w:b w:val="0"/>
            <w:bCs/>
            <w:color w:val="auto"/>
            <w:kern w:val="2"/>
            <w:lang w:eastAsia="en-AU"/>
            <w14:ligatures w14:val="standardContextual"/>
          </w:rPr>
          <w:tab/>
        </w:r>
        <w:r w:rsidRPr="00B23C32">
          <w:rPr>
            <w:rStyle w:val="Hyperlink"/>
            <w:b w:val="0"/>
            <w:bCs/>
            <w:i/>
            <w:iCs/>
          </w:rPr>
          <w:t>Residential Parks (Long-stay Tenants) Act 2006</w:t>
        </w:r>
        <w:r w:rsidRPr="001472FD">
          <w:rPr>
            <w:b w:val="0"/>
            <w:bCs/>
            <w:webHidden/>
          </w:rPr>
          <w:tab/>
        </w:r>
        <w:r w:rsidRPr="001472FD">
          <w:rPr>
            <w:b w:val="0"/>
            <w:bCs/>
            <w:webHidden/>
          </w:rPr>
          <w:fldChar w:fldCharType="begin"/>
        </w:r>
        <w:r w:rsidRPr="001472FD">
          <w:rPr>
            <w:b w:val="0"/>
            <w:bCs/>
            <w:webHidden/>
          </w:rPr>
          <w:instrText xml:space="preserve"> PAGEREF _Toc219884854 \h </w:instrText>
        </w:r>
        <w:r w:rsidRPr="001472FD">
          <w:rPr>
            <w:b w:val="0"/>
            <w:bCs/>
            <w:webHidden/>
          </w:rPr>
        </w:r>
        <w:r w:rsidRPr="001472FD">
          <w:rPr>
            <w:b w:val="0"/>
            <w:bCs/>
            <w:webHidden/>
          </w:rPr>
          <w:fldChar w:fldCharType="separate"/>
        </w:r>
        <w:r w:rsidR="00AA0D6A">
          <w:rPr>
            <w:b w:val="0"/>
            <w:bCs/>
            <w:webHidden/>
          </w:rPr>
          <w:t>4</w:t>
        </w:r>
        <w:r w:rsidRPr="001472FD">
          <w:rPr>
            <w:b w:val="0"/>
            <w:bCs/>
            <w:webHidden/>
          </w:rPr>
          <w:fldChar w:fldCharType="end"/>
        </w:r>
      </w:hyperlink>
    </w:p>
    <w:p w14:paraId="007BFD00" w14:textId="43AB9AEE" w:rsidR="001472FD" w:rsidRPr="001472FD" w:rsidRDefault="001472FD" w:rsidP="0019309F">
      <w:pPr>
        <w:pStyle w:val="TOC2"/>
        <w:rPr>
          <w:rFonts w:asciiTheme="minorHAnsi" w:eastAsiaTheme="minorEastAsia" w:hAnsiTheme="minorHAnsi" w:cstheme="minorBidi"/>
          <w:b w:val="0"/>
          <w:bCs/>
          <w:color w:val="auto"/>
          <w:kern w:val="2"/>
          <w:lang w:eastAsia="en-AU"/>
          <w14:ligatures w14:val="standardContextual"/>
        </w:rPr>
      </w:pPr>
      <w:hyperlink w:anchor="_Toc219884855" w:history="1">
        <w:r w:rsidRPr="001472FD">
          <w:rPr>
            <w:rStyle w:val="Hyperlink"/>
            <w:b w:val="0"/>
            <w:bCs/>
          </w:rPr>
          <w:t>1.5.</w:t>
        </w:r>
        <w:r w:rsidRPr="001472FD">
          <w:rPr>
            <w:rFonts w:asciiTheme="minorHAnsi" w:eastAsiaTheme="minorEastAsia" w:hAnsiTheme="minorHAnsi" w:cstheme="minorBidi"/>
            <w:b w:val="0"/>
            <w:bCs/>
            <w:color w:val="auto"/>
            <w:kern w:val="2"/>
            <w:lang w:eastAsia="en-AU"/>
            <w14:ligatures w14:val="standardContextual"/>
          </w:rPr>
          <w:tab/>
        </w:r>
        <w:r w:rsidRPr="001472FD">
          <w:rPr>
            <w:rStyle w:val="Hyperlink"/>
            <w:b w:val="0"/>
            <w:bCs/>
          </w:rPr>
          <w:t xml:space="preserve">Review </w:t>
        </w:r>
        <w:r w:rsidR="00112900">
          <w:rPr>
            <w:rStyle w:val="Hyperlink"/>
            <w:b w:val="0"/>
            <w:bCs/>
          </w:rPr>
          <w:t>s</w:t>
        </w:r>
        <w:r w:rsidRPr="001472FD">
          <w:rPr>
            <w:rStyle w:val="Hyperlink"/>
            <w:b w:val="0"/>
            <w:bCs/>
          </w:rPr>
          <w:t xml:space="preserve">cope and </w:t>
        </w:r>
        <w:r w:rsidR="00112900">
          <w:rPr>
            <w:rStyle w:val="Hyperlink"/>
            <w:b w:val="0"/>
            <w:bCs/>
          </w:rPr>
          <w:t>p</w:t>
        </w:r>
        <w:r w:rsidRPr="001472FD">
          <w:rPr>
            <w:rStyle w:val="Hyperlink"/>
            <w:b w:val="0"/>
            <w:bCs/>
          </w:rPr>
          <w:t>rocess</w:t>
        </w:r>
        <w:r w:rsidRPr="001472FD">
          <w:rPr>
            <w:b w:val="0"/>
            <w:bCs/>
            <w:webHidden/>
          </w:rPr>
          <w:tab/>
        </w:r>
        <w:r w:rsidRPr="001472FD">
          <w:rPr>
            <w:b w:val="0"/>
            <w:bCs/>
            <w:webHidden/>
          </w:rPr>
          <w:fldChar w:fldCharType="begin"/>
        </w:r>
        <w:r w:rsidRPr="001472FD">
          <w:rPr>
            <w:b w:val="0"/>
            <w:bCs/>
            <w:webHidden/>
          </w:rPr>
          <w:instrText xml:space="preserve"> PAGEREF _Toc219884855 \h </w:instrText>
        </w:r>
        <w:r w:rsidRPr="001472FD">
          <w:rPr>
            <w:b w:val="0"/>
            <w:bCs/>
            <w:webHidden/>
          </w:rPr>
        </w:r>
        <w:r w:rsidRPr="001472FD">
          <w:rPr>
            <w:b w:val="0"/>
            <w:bCs/>
            <w:webHidden/>
          </w:rPr>
          <w:fldChar w:fldCharType="separate"/>
        </w:r>
        <w:r w:rsidR="00AA0D6A">
          <w:rPr>
            <w:b w:val="0"/>
            <w:bCs/>
            <w:webHidden/>
          </w:rPr>
          <w:t>5</w:t>
        </w:r>
        <w:r w:rsidRPr="001472FD">
          <w:rPr>
            <w:b w:val="0"/>
            <w:bCs/>
            <w:webHidden/>
          </w:rPr>
          <w:fldChar w:fldCharType="end"/>
        </w:r>
      </w:hyperlink>
    </w:p>
    <w:p w14:paraId="2FA59AFA" w14:textId="6864F224" w:rsidR="001472FD" w:rsidRPr="001472FD" w:rsidRDefault="001472FD" w:rsidP="0019309F">
      <w:pPr>
        <w:pStyle w:val="TOC2"/>
        <w:rPr>
          <w:rFonts w:asciiTheme="minorHAnsi" w:eastAsiaTheme="minorEastAsia" w:hAnsiTheme="minorHAnsi" w:cstheme="minorBidi"/>
          <w:b w:val="0"/>
          <w:bCs/>
          <w:color w:val="auto"/>
          <w:kern w:val="2"/>
          <w:lang w:eastAsia="en-AU"/>
          <w14:ligatures w14:val="standardContextual"/>
        </w:rPr>
      </w:pPr>
      <w:hyperlink w:anchor="_Toc219884856" w:history="1">
        <w:r w:rsidRPr="001472FD">
          <w:rPr>
            <w:rStyle w:val="Hyperlink"/>
            <w:b w:val="0"/>
            <w:bCs/>
          </w:rPr>
          <w:t>1.6.</w:t>
        </w:r>
        <w:r w:rsidRPr="001472FD">
          <w:rPr>
            <w:rFonts w:asciiTheme="minorHAnsi" w:eastAsiaTheme="minorEastAsia" w:hAnsiTheme="minorHAnsi" w:cstheme="minorBidi"/>
            <w:b w:val="0"/>
            <w:bCs/>
            <w:color w:val="auto"/>
            <w:kern w:val="2"/>
            <w:lang w:eastAsia="en-AU"/>
            <w14:ligatures w14:val="standardContextual"/>
          </w:rPr>
          <w:tab/>
        </w:r>
        <w:r w:rsidRPr="001472FD">
          <w:rPr>
            <w:rStyle w:val="Hyperlink"/>
            <w:b w:val="0"/>
            <w:bCs/>
          </w:rPr>
          <w:t>Other legislation outside scope of this review</w:t>
        </w:r>
        <w:r w:rsidRPr="001472FD">
          <w:rPr>
            <w:b w:val="0"/>
            <w:bCs/>
            <w:webHidden/>
          </w:rPr>
          <w:tab/>
        </w:r>
        <w:r w:rsidRPr="001472FD">
          <w:rPr>
            <w:b w:val="0"/>
            <w:bCs/>
            <w:webHidden/>
          </w:rPr>
          <w:fldChar w:fldCharType="begin"/>
        </w:r>
        <w:r w:rsidRPr="001472FD">
          <w:rPr>
            <w:b w:val="0"/>
            <w:bCs/>
            <w:webHidden/>
          </w:rPr>
          <w:instrText xml:space="preserve"> PAGEREF _Toc219884856 \h </w:instrText>
        </w:r>
        <w:r w:rsidRPr="001472FD">
          <w:rPr>
            <w:b w:val="0"/>
            <w:bCs/>
            <w:webHidden/>
          </w:rPr>
        </w:r>
        <w:r w:rsidRPr="001472FD">
          <w:rPr>
            <w:b w:val="0"/>
            <w:bCs/>
            <w:webHidden/>
          </w:rPr>
          <w:fldChar w:fldCharType="separate"/>
        </w:r>
        <w:r w:rsidR="00AA0D6A">
          <w:rPr>
            <w:b w:val="0"/>
            <w:bCs/>
            <w:webHidden/>
          </w:rPr>
          <w:t>6</w:t>
        </w:r>
        <w:r w:rsidRPr="001472FD">
          <w:rPr>
            <w:b w:val="0"/>
            <w:bCs/>
            <w:webHidden/>
          </w:rPr>
          <w:fldChar w:fldCharType="end"/>
        </w:r>
      </w:hyperlink>
    </w:p>
    <w:p w14:paraId="7F374894" w14:textId="364BDEDE" w:rsidR="001472FD" w:rsidRPr="001472FD" w:rsidRDefault="001472FD" w:rsidP="0019309F">
      <w:pPr>
        <w:pStyle w:val="TOC2"/>
        <w:rPr>
          <w:rFonts w:asciiTheme="minorHAnsi" w:eastAsiaTheme="minorEastAsia" w:hAnsiTheme="minorHAnsi" w:cstheme="minorBidi"/>
          <w:b w:val="0"/>
          <w:bCs/>
          <w:color w:val="auto"/>
          <w:kern w:val="2"/>
          <w:lang w:eastAsia="en-AU"/>
          <w14:ligatures w14:val="standardContextual"/>
        </w:rPr>
      </w:pPr>
      <w:hyperlink w:anchor="_Toc219884857" w:history="1">
        <w:r w:rsidRPr="001472FD">
          <w:rPr>
            <w:rStyle w:val="Hyperlink"/>
            <w:b w:val="0"/>
            <w:bCs/>
          </w:rPr>
          <w:t>1.7.</w:t>
        </w:r>
        <w:r w:rsidRPr="001472FD">
          <w:rPr>
            <w:rFonts w:asciiTheme="minorHAnsi" w:eastAsiaTheme="minorEastAsia" w:hAnsiTheme="minorHAnsi" w:cstheme="minorBidi"/>
            <w:b w:val="0"/>
            <w:bCs/>
            <w:color w:val="auto"/>
            <w:kern w:val="2"/>
            <w:lang w:eastAsia="en-AU"/>
            <w14:ligatures w14:val="standardContextual"/>
          </w:rPr>
          <w:tab/>
        </w:r>
        <w:r w:rsidRPr="001472FD">
          <w:rPr>
            <w:rStyle w:val="Hyperlink"/>
            <w:b w:val="0"/>
            <w:bCs/>
          </w:rPr>
          <w:t>How to make a submission</w:t>
        </w:r>
        <w:r w:rsidRPr="001472FD">
          <w:rPr>
            <w:b w:val="0"/>
            <w:bCs/>
            <w:webHidden/>
          </w:rPr>
          <w:tab/>
        </w:r>
        <w:r w:rsidRPr="001472FD">
          <w:rPr>
            <w:b w:val="0"/>
            <w:bCs/>
            <w:webHidden/>
          </w:rPr>
          <w:fldChar w:fldCharType="begin"/>
        </w:r>
        <w:r w:rsidRPr="001472FD">
          <w:rPr>
            <w:b w:val="0"/>
            <w:bCs/>
            <w:webHidden/>
          </w:rPr>
          <w:instrText xml:space="preserve"> PAGEREF _Toc219884857 \h </w:instrText>
        </w:r>
        <w:r w:rsidRPr="001472FD">
          <w:rPr>
            <w:b w:val="0"/>
            <w:bCs/>
            <w:webHidden/>
          </w:rPr>
        </w:r>
        <w:r w:rsidRPr="001472FD">
          <w:rPr>
            <w:b w:val="0"/>
            <w:bCs/>
            <w:webHidden/>
          </w:rPr>
          <w:fldChar w:fldCharType="separate"/>
        </w:r>
        <w:r w:rsidR="00AA0D6A">
          <w:rPr>
            <w:b w:val="0"/>
            <w:bCs/>
            <w:webHidden/>
          </w:rPr>
          <w:t>6</w:t>
        </w:r>
        <w:r w:rsidRPr="001472FD">
          <w:rPr>
            <w:b w:val="0"/>
            <w:bCs/>
            <w:webHidden/>
          </w:rPr>
          <w:fldChar w:fldCharType="end"/>
        </w:r>
      </w:hyperlink>
    </w:p>
    <w:p w14:paraId="06E8405B" w14:textId="15D22EDE" w:rsidR="001472FD" w:rsidRDefault="001472FD" w:rsidP="0019309F">
      <w:pPr>
        <w:pStyle w:val="TOC1"/>
        <w:rPr>
          <w:rFonts w:asciiTheme="minorHAnsi" w:eastAsiaTheme="minorEastAsia" w:hAnsiTheme="minorHAnsi" w:cstheme="minorBidi"/>
          <w:b w:val="0"/>
          <w:noProof/>
          <w:color w:val="auto"/>
          <w:kern w:val="2"/>
          <w:sz w:val="24"/>
          <w:lang w:eastAsia="en-AU"/>
          <w14:ligatures w14:val="standardContextual"/>
        </w:rPr>
      </w:pPr>
      <w:hyperlink w:anchor="_Toc219884858" w:history="1">
        <w:r w:rsidRPr="00EA7DB7">
          <w:rPr>
            <w:rStyle w:val="Hyperlink"/>
            <w:noProof/>
          </w:rPr>
          <w:t>2.</w:t>
        </w:r>
        <w:r>
          <w:rPr>
            <w:rFonts w:asciiTheme="minorHAnsi" w:eastAsiaTheme="minorEastAsia" w:hAnsiTheme="minorHAnsi" w:cstheme="minorBidi"/>
            <w:b w:val="0"/>
            <w:noProof/>
            <w:color w:val="auto"/>
            <w:kern w:val="2"/>
            <w:sz w:val="24"/>
            <w:lang w:eastAsia="en-AU"/>
            <w14:ligatures w14:val="standardContextual"/>
          </w:rPr>
          <w:tab/>
        </w:r>
        <w:r w:rsidRPr="00EA7DB7">
          <w:rPr>
            <w:rStyle w:val="Hyperlink"/>
            <w:noProof/>
          </w:rPr>
          <w:t>Key issues</w:t>
        </w:r>
        <w:r>
          <w:rPr>
            <w:noProof/>
            <w:webHidden/>
          </w:rPr>
          <w:tab/>
        </w:r>
        <w:r>
          <w:rPr>
            <w:noProof/>
            <w:webHidden/>
          </w:rPr>
          <w:fldChar w:fldCharType="begin"/>
        </w:r>
        <w:r>
          <w:rPr>
            <w:noProof/>
            <w:webHidden/>
          </w:rPr>
          <w:instrText xml:space="preserve"> PAGEREF _Toc219884858 \h </w:instrText>
        </w:r>
        <w:r>
          <w:rPr>
            <w:noProof/>
            <w:webHidden/>
          </w:rPr>
        </w:r>
        <w:r>
          <w:rPr>
            <w:noProof/>
            <w:webHidden/>
          </w:rPr>
          <w:fldChar w:fldCharType="separate"/>
        </w:r>
        <w:r w:rsidR="00AA0D6A">
          <w:rPr>
            <w:noProof/>
            <w:webHidden/>
          </w:rPr>
          <w:t>8</w:t>
        </w:r>
        <w:r>
          <w:rPr>
            <w:noProof/>
            <w:webHidden/>
          </w:rPr>
          <w:fldChar w:fldCharType="end"/>
        </w:r>
      </w:hyperlink>
    </w:p>
    <w:p w14:paraId="16F99231" w14:textId="6DA7D243" w:rsidR="001472FD" w:rsidRDefault="001472FD" w:rsidP="0019309F">
      <w:pPr>
        <w:pStyle w:val="TOC1"/>
        <w:rPr>
          <w:rFonts w:asciiTheme="minorHAnsi" w:eastAsiaTheme="minorEastAsia" w:hAnsiTheme="minorHAnsi" w:cstheme="minorBidi"/>
          <w:b w:val="0"/>
          <w:noProof/>
          <w:color w:val="auto"/>
          <w:kern w:val="2"/>
          <w:sz w:val="24"/>
          <w:lang w:eastAsia="en-AU"/>
          <w14:ligatures w14:val="standardContextual"/>
        </w:rPr>
      </w:pPr>
      <w:hyperlink w:anchor="_Toc219884859" w:history="1">
        <w:r w:rsidRPr="00EA7DB7">
          <w:rPr>
            <w:rStyle w:val="Hyperlink"/>
            <w:noProof/>
          </w:rPr>
          <w:t>3.</w:t>
        </w:r>
        <w:r>
          <w:rPr>
            <w:rFonts w:asciiTheme="minorHAnsi" w:eastAsiaTheme="minorEastAsia" w:hAnsiTheme="minorHAnsi" w:cstheme="minorBidi"/>
            <w:b w:val="0"/>
            <w:noProof/>
            <w:color w:val="auto"/>
            <w:kern w:val="2"/>
            <w:sz w:val="24"/>
            <w:lang w:eastAsia="en-AU"/>
            <w14:ligatures w14:val="standardContextual"/>
          </w:rPr>
          <w:tab/>
        </w:r>
        <w:r w:rsidRPr="00EA7DB7">
          <w:rPr>
            <w:rStyle w:val="Hyperlink"/>
            <w:noProof/>
          </w:rPr>
          <w:t xml:space="preserve">Prior to </w:t>
        </w:r>
        <w:r w:rsidR="00112900">
          <w:rPr>
            <w:rStyle w:val="Hyperlink"/>
            <w:noProof/>
          </w:rPr>
          <w:t>l</w:t>
        </w:r>
        <w:r w:rsidRPr="00EA7DB7">
          <w:rPr>
            <w:rStyle w:val="Hyperlink"/>
            <w:noProof/>
          </w:rPr>
          <w:t xml:space="preserve">iving in a </w:t>
        </w:r>
        <w:r w:rsidR="00112900">
          <w:rPr>
            <w:rStyle w:val="Hyperlink"/>
            <w:noProof/>
          </w:rPr>
          <w:t>p</w:t>
        </w:r>
        <w:r w:rsidRPr="00EA7DB7">
          <w:rPr>
            <w:rStyle w:val="Hyperlink"/>
            <w:noProof/>
          </w:rPr>
          <w:t>ark</w:t>
        </w:r>
        <w:r>
          <w:rPr>
            <w:noProof/>
            <w:webHidden/>
          </w:rPr>
          <w:tab/>
        </w:r>
        <w:r>
          <w:rPr>
            <w:noProof/>
            <w:webHidden/>
          </w:rPr>
          <w:fldChar w:fldCharType="begin"/>
        </w:r>
        <w:r>
          <w:rPr>
            <w:noProof/>
            <w:webHidden/>
          </w:rPr>
          <w:instrText xml:space="preserve"> PAGEREF _Toc219884859 \h </w:instrText>
        </w:r>
        <w:r>
          <w:rPr>
            <w:noProof/>
            <w:webHidden/>
          </w:rPr>
        </w:r>
        <w:r>
          <w:rPr>
            <w:noProof/>
            <w:webHidden/>
          </w:rPr>
          <w:fldChar w:fldCharType="separate"/>
        </w:r>
        <w:r w:rsidR="00AA0D6A">
          <w:rPr>
            <w:noProof/>
            <w:webHidden/>
          </w:rPr>
          <w:t>10</w:t>
        </w:r>
        <w:r>
          <w:rPr>
            <w:noProof/>
            <w:webHidden/>
          </w:rPr>
          <w:fldChar w:fldCharType="end"/>
        </w:r>
      </w:hyperlink>
    </w:p>
    <w:p w14:paraId="7F6A1EF0" w14:textId="05C823ED" w:rsidR="001472FD" w:rsidRPr="001472FD" w:rsidRDefault="001472FD" w:rsidP="0019309F">
      <w:pPr>
        <w:pStyle w:val="TOC2"/>
        <w:rPr>
          <w:rFonts w:asciiTheme="minorHAnsi" w:eastAsiaTheme="minorEastAsia" w:hAnsiTheme="minorHAnsi" w:cstheme="minorBidi"/>
          <w:b w:val="0"/>
          <w:bCs/>
          <w:color w:val="auto"/>
          <w:kern w:val="2"/>
          <w:lang w:eastAsia="en-AU"/>
          <w14:ligatures w14:val="standardContextual"/>
        </w:rPr>
      </w:pPr>
      <w:hyperlink w:anchor="_Toc219884860" w:history="1">
        <w:r w:rsidRPr="001472FD">
          <w:rPr>
            <w:rStyle w:val="Hyperlink"/>
            <w:b w:val="0"/>
            <w:bCs/>
          </w:rPr>
          <w:t>3.1.</w:t>
        </w:r>
        <w:r w:rsidRPr="001472FD">
          <w:rPr>
            <w:rFonts w:asciiTheme="minorHAnsi" w:eastAsiaTheme="minorEastAsia" w:hAnsiTheme="minorHAnsi" w:cstheme="minorBidi"/>
            <w:b w:val="0"/>
            <w:bCs/>
            <w:color w:val="auto"/>
            <w:kern w:val="2"/>
            <w:lang w:eastAsia="en-AU"/>
            <w14:ligatures w14:val="standardContextual"/>
          </w:rPr>
          <w:tab/>
        </w:r>
        <w:r w:rsidRPr="001472FD">
          <w:rPr>
            <w:rStyle w:val="Hyperlink"/>
            <w:b w:val="0"/>
            <w:bCs/>
          </w:rPr>
          <w:t>Disclosure</w:t>
        </w:r>
        <w:r w:rsidRPr="001472FD">
          <w:rPr>
            <w:b w:val="0"/>
            <w:bCs/>
            <w:webHidden/>
          </w:rPr>
          <w:tab/>
        </w:r>
        <w:r w:rsidRPr="001472FD">
          <w:rPr>
            <w:b w:val="0"/>
            <w:bCs/>
            <w:webHidden/>
          </w:rPr>
          <w:fldChar w:fldCharType="begin"/>
        </w:r>
        <w:r w:rsidRPr="001472FD">
          <w:rPr>
            <w:b w:val="0"/>
            <w:bCs/>
            <w:webHidden/>
          </w:rPr>
          <w:instrText xml:space="preserve"> PAGEREF _Toc219884860 \h </w:instrText>
        </w:r>
        <w:r w:rsidRPr="001472FD">
          <w:rPr>
            <w:b w:val="0"/>
            <w:bCs/>
            <w:webHidden/>
          </w:rPr>
        </w:r>
        <w:r w:rsidRPr="001472FD">
          <w:rPr>
            <w:b w:val="0"/>
            <w:bCs/>
            <w:webHidden/>
          </w:rPr>
          <w:fldChar w:fldCharType="separate"/>
        </w:r>
        <w:r w:rsidR="00AA0D6A">
          <w:rPr>
            <w:b w:val="0"/>
            <w:bCs/>
            <w:webHidden/>
          </w:rPr>
          <w:t>10</w:t>
        </w:r>
        <w:r w:rsidRPr="001472FD">
          <w:rPr>
            <w:b w:val="0"/>
            <w:bCs/>
            <w:webHidden/>
          </w:rPr>
          <w:fldChar w:fldCharType="end"/>
        </w:r>
      </w:hyperlink>
    </w:p>
    <w:p w14:paraId="0E322F28" w14:textId="0D4129C6" w:rsidR="001472FD" w:rsidRPr="001472FD" w:rsidRDefault="001472FD" w:rsidP="0019309F">
      <w:pPr>
        <w:pStyle w:val="TOC2"/>
        <w:rPr>
          <w:rFonts w:asciiTheme="minorHAnsi" w:eastAsiaTheme="minorEastAsia" w:hAnsiTheme="minorHAnsi" w:cstheme="minorBidi"/>
          <w:b w:val="0"/>
          <w:bCs/>
          <w:color w:val="auto"/>
          <w:kern w:val="2"/>
          <w:lang w:eastAsia="en-AU"/>
          <w14:ligatures w14:val="standardContextual"/>
        </w:rPr>
      </w:pPr>
      <w:hyperlink w:anchor="_Toc219884864" w:history="1">
        <w:r w:rsidRPr="001472FD">
          <w:rPr>
            <w:rStyle w:val="Hyperlink"/>
            <w:b w:val="0"/>
            <w:bCs/>
          </w:rPr>
          <w:t>3.2.</w:t>
        </w:r>
        <w:r w:rsidRPr="001472FD">
          <w:rPr>
            <w:rFonts w:asciiTheme="minorHAnsi" w:eastAsiaTheme="minorEastAsia" w:hAnsiTheme="minorHAnsi" w:cstheme="minorBidi"/>
            <w:b w:val="0"/>
            <w:bCs/>
            <w:color w:val="auto"/>
            <w:kern w:val="2"/>
            <w:lang w:eastAsia="en-AU"/>
            <w14:ligatures w14:val="standardContextual"/>
          </w:rPr>
          <w:tab/>
        </w:r>
        <w:r w:rsidRPr="001472FD">
          <w:rPr>
            <w:rStyle w:val="Hyperlink"/>
            <w:b w:val="0"/>
            <w:bCs/>
          </w:rPr>
          <w:t>Applying for a long-stay agreement</w:t>
        </w:r>
        <w:r w:rsidRPr="001472FD">
          <w:rPr>
            <w:b w:val="0"/>
            <w:bCs/>
            <w:webHidden/>
          </w:rPr>
          <w:tab/>
        </w:r>
        <w:r w:rsidRPr="001472FD">
          <w:rPr>
            <w:b w:val="0"/>
            <w:bCs/>
            <w:webHidden/>
          </w:rPr>
          <w:fldChar w:fldCharType="begin"/>
        </w:r>
        <w:r w:rsidRPr="001472FD">
          <w:rPr>
            <w:b w:val="0"/>
            <w:bCs/>
            <w:webHidden/>
          </w:rPr>
          <w:instrText xml:space="preserve"> PAGEREF _Toc219884864 \h </w:instrText>
        </w:r>
        <w:r w:rsidRPr="001472FD">
          <w:rPr>
            <w:b w:val="0"/>
            <w:bCs/>
            <w:webHidden/>
          </w:rPr>
        </w:r>
        <w:r w:rsidRPr="001472FD">
          <w:rPr>
            <w:b w:val="0"/>
            <w:bCs/>
            <w:webHidden/>
          </w:rPr>
          <w:fldChar w:fldCharType="separate"/>
        </w:r>
        <w:r w:rsidR="00AA0D6A">
          <w:rPr>
            <w:b w:val="0"/>
            <w:bCs/>
            <w:webHidden/>
          </w:rPr>
          <w:t>13</w:t>
        </w:r>
        <w:r w:rsidRPr="001472FD">
          <w:rPr>
            <w:b w:val="0"/>
            <w:bCs/>
            <w:webHidden/>
          </w:rPr>
          <w:fldChar w:fldCharType="end"/>
        </w:r>
      </w:hyperlink>
    </w:p>
    <w:p w14:paraId="28013B38" w14:textId="616494C8" w:rsidR="001472FD" w:rsidRPr="001472FD" w:rsidRDefault="001472FD" w:rsidP="0019309F">
      <w:pPr>
        <w:pStyle w:val="TOC2"/>
        <w:rPr>
          <w:rFonts w:asciiTheme="minorHAnsi" w:eastAsiaTheme="minorEastAsia" w:hAnsiTheme="minorHAnsi" w:cstheme="minorBidi"/>
          <w:b w:val="0"/>
          <w:bCs/>
          <w:color w:val="auto"/>
          <w:kern w:val="2"/>
          <w:lang w:eastAsia="en-AU"/>
          <w14:ligatures w14:val="standardContextual"/>
        </w:rPr>
      </w:pPr>
      <w:hyperlink w:anchor="_Toc219884867" w:history="1">
        <w:r w:rsidRPr="001472FD">
          <w:rPr>
            <w:rStyle w:val="Hyperlink"/>
            <w:b w:val="0"/>
            <w:bCs/>
          </w:rPr>
          <w:t>3.3.</w:t>
        </w:r>
        <w:r w:rsidRPr="001472FD">
          <w:rPr>
            <w:rFonts w:asciiTheme="minorHAnsi" w:eastAsiaTheme="minorEastAsia" w:hAnsiTheme="minorHAnsi" w:cstheme="minorBidi"/>
            <w:b w:val="0"/>
            <w:bCs/>
            <w:color w:val="auto"/>
            <w:kern w:val="2"/>
            <w:lang w:eastAsia="en-AU"/>
            <w14:ligatures w14:val="standardContextual"/>
          </w:rPr>
          <w:tab/>
        </w:r>
        <w:r w:rsidRPr="001472FD">
          <w:rPr>
            <w:rStyle w:val="Hyperlink"/>
            <w:b w:val="0"/>
            <w:bCs/>
          </w:rPr>
          <w:t>Long-stay agreement and forms</w:t>
        </w:r>
        <w:r w:rsidRPr="001472FD">
          <w:rPr>
            <w:b w:val="0"/>
            <w:bCs/>
            <w:webHidden/>
          </w:rPr>
          <w:tab/>
        </w:r>
        <w:r w:rsidRPr="001472FD">
          <w:rPr>
            <w:b w:val="0"/>
            <w:bCs/>
            <w:webHidden/>
          </w:rPr>
          <w:fldChar w:fldCharType="begin"/>
        </w:r>
        <w:r w:rsidRPr="001472FD">
          <w:rPr>
            <w:b w:val="0"/>
            <w:bCs/>
            <w:webHidden/>
          </w:rPr>
          <w:instrText xml:space="preserve"> PAGEREF _Toc219884867 \h </w:instrText>
        </w:r>
        <w:r w:rsidRPr="001472FD">
          <w:rPr>
            <w:b w:val="0"/>
            <w:bCs/>
            <w:webHidden/>
          </w:rPr>
        </w:r>
        <w:r w:rsidRPr="001472FD">
          <w:rPr>
            <w:b w:val="0"/>
            <w:bCs/>
            <w:webHidden/>
          </w:rPr>
          <w:fldChar w:fldCharType="separate"/>
        </w:r>
        <w:r w:rsidR="00AA0D6A">
          <w:rPr>
            <w:b w:val="0"/>
            <w:bCs/>
            <w:webHidden/>
          </w:rPr>
          <w:t>14</w:t>
        </w:r>
        <w:r w:rsidRPr="001472FD">
          <w:rPr>
            <w:b w:val="0"/>
            <w:bCs/>
            <w:webHidden/>
          </w:rPr>
          <w:fldChar w:fldCharType="end"/>
        </w:r>
      </w:hyperlink>
    </w:p>
    <w:p w14:paraId="3388627F" w14:textId="7F157E41" w:rsidR="001472FD" w:rsidRDefault="001472FD" w:rsidP="0019309F">
      <w:pPr>
        <w:pStyle w:val="TOC1"/>
        <w:rPr>
          <w:rFonts w:asciiTheme="minorHAnsi" w:eastAsiaTheme="minorEastAsia" w:hAnsiTheme="minorHAnsi" w:cstheme="minorBidi"/>
          <w:b w:val="0"/>
          <w:noProof/>
          <w:color w:val="auto"/>
          <w:kern w:val="2"/>
          <w:sz w:val="24"/>
          <w:lang w:eastAsia="en-AU"/>
          <w14:ligatures w14:val="standardContextual"/>
        </w:rPr>
      </w:pPr>
      <w:hyperlink w:anchor="_Toc219884871" w:history="1">
        <w:r w:rsidRPr="00EA7DB7">
          <w:rPr>
            <w:rStyle w:val="Hyperlink"/>
            <w:noProof/>
          </w:rPr>
          <w:t>4.</w:t>
        </w:r>
        <w:r>
          <w:rPr>
            <w:rFonts w:asciiTheme="minorHAnsi" w:eastAsiaTheme="minorEastAsia" w:hAnsiTheme="minorHAnsi" w:cstheme="minorBidi"/>
            <w:b w:val="0"/>
            <w:noProof/>
            <w:color w:val="auto"/>
            <w:kern w:val="2"/>
            <w:sz w:val="24"/>
            <w:lang w:eastAsia="en-AU"/>
            <w14:ligatures w14:val="standardContextual"/>
          </w:rPr>
          <w:tab/>
        </w:r>
        <w:r w:rsidRPr="00EA7DB7">
          <w:rPr>
            <w:rStyle w:val="Hyperlink"/>
            <w:noProof/>
          </w:rPr>
          <w:t xml:space="preserve">Living in a </w:t>
        </w:r>
        <w:r w:rsidR="00112900">
          <w:rPr>
            <w:rStyle w:val="Hyperlink"/>
            <w:noProof/>
          </w:rPr>
          <w:t>p</w:t>
        </w:r>
        <w:r w:rsidRPr="00EA7DB7">
          <w:rPr>
            <w:rStyle w:val="Hyperlink"/>
            <w:noProof/>
          </w:rPr>
          <w:t>ark</w:t>
        </w:r>
        <w:r>
          <w:rPr>
            <w:noProof/>
            <w:webHidden/>
          </w:rPr>
          <w:tab/>
        </w:r>
        <w:r>
          <w:rPr>
            <w:noProof/>
            <w:webHidden/>
          </w:rPr>
          <w:fldChar w:fldCharType="begin"/>
        </w:r>
        <w:r>
          <w:rPr>
            <w:noProof/>
            <w:webHidden/>
          </w:rPr>
          <w:instrText xml:space="preserve"> PAGEREF _Toc219884871 \h </w:instrText>
        </w:r>
        <w:r>
          <w:rPr>
            <w:noProof/>
            <w:webHidden/>
          </w:rPr>
        </w:r>
        <w:r>
          <w:rPr>
            <w:noProof/>
            <w:webHidden/>
          </w:rPr>
          <w:fldChar w:fldCharType="separate"/>
        </w:r>
        <w:r w:rsidR="00AA0D6A">
          <w:rPr>
            <w:noProof/>
            <w:webHidden/>
          </w:rPr>
          <w:t>16</w:t>
        </w:r>
        <w:r>
          <w:rPr>
            <w:noProof/>
            <w:webHidden/>
          </w:rPr>
          <w:fldChar w:fldCharType="end"/>
        </w:r>
      </w:hyperlink>
    </w:p>
    <w:p w14:paraId="123779F5" w14:textId="7B73CE75" w:rsidR="001472FD" w:rsidRPr="001472FD" w:rsidRDefault="001472FD" w:rsidP="0019309F">
      <w:pPr>
        <w:pStyle w:val="TOC2"/>
        <w:rPr>
          <w:rFonts w:asciiTheme="minorHAnsi" w:eastAsiaTheme="minorEastAsia" w:hAnsiTheme="minorHAnsi" w:cstheme="minorBidi"/>
          <w:b w:val="0"/>
          <w:bCs/>
          <w:color w:val="auto"/>
          <w:kern w:val="2"/>
          <w:lang w:eastAsia="en-AU"/>
          <w14:ligatures w14:val="standardContextual"/>
        </w:rPr>
      </w:pPr>
      <w:hyperlink w:anchor="_Toc219884872" w:history="1">
        <w:r w:rsidRPr="001472FD">
          <w:rPr>
            <w:rStyle w:val="Hyperlink"/>
            <w:b w:val="0"/>
            <w:bCs/>
          </w:rPr>
          <w:t>4.1.</w:t>
        </w:r>
        <w:r w:rsidRPr="001472FD">
          <w:rPr>
            <w:rFonts w:asciiTheme="minorHAnsi" w:eastAsiaTheme="minorEastAsia" w:hAnsiTheme="minorHAnsi" w:cstheme="minorBidi"/>
            <w:b w:val="0"/>
            <w:bCs/>
            <w:color w:val="auto"/>
            <w:kern w:val="2"/>
            <w:lang w:eastAsia="en-AU"/>
            <w14:ligatures w14:val="standardContextual"/>
          </w:rPr>
          <w:tab/>
        </w:r>
        <w:r w:rsidRPr="001472FD">
          <w:rPr>
            <w:rStyle w:val="Hyperlink"/>
            <w:b w:val="0"/>
            <w:bCs/>
          </w:rPr>
          <w:t>Rent variation</w:t>
        </w:r>
        <w:r w:rsidRPr="001472FD">
          <w:rPr>
            <w:b w:val="0"/>
            <w:bCs/>
            <w:webHidden/>
          </w:rPr>
          <w:tab/>
        </w:r>
        <w:r w:rsidRPr="001472FD">
          <w:rPr>
            <w:b w:val="0"/>
            <w:bCs/>
            <w:webHidden/>
          </w:rPr>
          <w:fldChar w:fldCharType="begin"/>
        </w:r>
        <w:r w:rsidRPr="001472FD">
          <w:rPr>
            <w:b w:val="0"/>
            <w:bCs/>
            <w:webHidden/>
          </w:rPr>
          <w:instrText xml:space="preserve"> PAGEREF _Toc219884872 \h </w:instrText>
        </w:r>
        <w:r w:rsidRPr="001472FD">
          <w:rPr>
            <w:b w:val="0"/>
            <w:bCs/>
            <w:webHidden/>
          </w:rPr>
        </w:r>
        <w:r w:rsidRPr="001472FD">
          <w:rPr>
            <w:b w:val="0"/>
            <w:bCs/>
            <w:webHidden/>
          </w:rPr>
          <w:fldChar w:fldCharType="separate"/>
        </w:r>
        <w:r w:rsidR="00AA0D6A">
          <w:rPr>
            <w:b w:val="0"/>
            <w:bCs/>
            <w:webHidden/>
          </w:rPr>
          <w:t>16</w:t>
        </w:r>
        <w:r w:rsidRPr="001472FD">
          <w:rPr>
            <w:b w:val="0"/>
            <w:bCs/>
            <w:webHidden/>
          </w:rPr>
          <w:fldChar w:fldCharType="end"/>
        </w:r>
      </w:hyperlink>
    </w:p>
    <w:p w14:paraId="0BD12495" w14:textId="1D4C8DAD" w:rsidR="001472FD" w:rsidRPr="001472FD" w:rsidRDefault="001472FD" w:rsidP="0019309F">
      <w:pPr>
        <w:pStyle w:val="TOC2"/>
        <w:rPr>
          <w:rFonts w:asciiTheme="minorHAnsi" w:eastAsiaTheme="minorEastAsia" w:hAnsiTheme="minorHAnsi" w:cstheme="minorBidi"/>
          <w:b w:val="0"/>
          <w:bCs/>
          <w:color w:val="auto"/>
          <w:kern w:val="2"/>
          <w:lang w:eastAsia="en-AU"/>
          <w14:ligatures w14:val="standardContextual"/>
        </w:rPr>
      </w:pPr>
      <w:hyperlink w:anchor="_Toc219884876" w:history="1">
        <w:r w:rsidRPr="001472FD">
          <w:rPr>
            <w:rStyle w:val="Hyperlink"/>
            <w:b w:val="0"/>
            <w:bCs/>
          </w:rPr>
          <w:t>4.2.</w:t>
        </w:r>
        <w:r w:rsidRPr="001472FD">
          <w:rPr>
            <w:rFonts w:asciiTheme="minorHAnsi" w:eastAsiaTheme="minorEastAsia" w:hAnsiTheme="minorHAnsi" w:cstheme="minorBidi"/>
            <w:b w:val="0"/>
            <w:bCs/>
            <w:color w:val="auto"/>
            <w:kern w:val="2"/>
            <w:lang w:eastAsia="en-AU"/>
            <w14:ligatures w14:val="standardContextual"/>
          </w:rPr>
          <w:tab/>
        </w:r>
        <w:r w:rsidRPr="001472FD">
          <w:rPr>
            <w:rStyle w:val="Hyperlink"/>
            <w:b w:val="0"/>
            <w:bCs/>
          </w:rPr>
          <w:t xml:space="preserve">Fees and </w:t>
        </w:r>
        <w:r w:rsidR="00112900">
          <w:rPr>
            <w:rStyle w:val="Hyperlink"/>
            <w:b w:val="0"/>
            <w:bCs/>
          </w:rPr>
          <w:t>c</w:t>
        </w:r>
        <w:r w:rsidRPr="001472FD">
          <w:rPr>
            <w:rStyle w:val="Hyperlink"/>
            <w:b w:val="0"/>
            <w:bCs/>
          </w:rPr>
          <w:t>harges</w:t>
        </w:r>
        <w:r w:rsidRPr="001472FD">
          <w:rPr>
            <w:b w:val="0"/>
            <w:bCs/>
            <w:webHidden/>
          </w:rPr>
          <w:tab/>
        </w:r>
        <w:r w:rsidRPr="001472FD">
          <w:rPr>
            <w:b w:val="0"/>
            <w:bCs/>
            <w:webHidden/>
          </w:rPr>
          <w:fldChar w:fldCharType="begin"/>
        </w:r>
        <w:r w:rsidRPr="001472FD">
          <w:rPr>
            <w:b w:val="0"/>
            <w:bCs/>
            <w:webHidden/>
          </w:rPr>
          <w:instrText xml:space="preserve"> PAGEREF _Toc219884876 \h </w:instrText>
        </w:r>
        <w:r w:rsidRPr="001472FD">
          <w:rPr>
            <w:b w:val="0"/>
            <w:bCs/>
            <w:webHidden/>
          </w:rPr>
        </w:r>
        <w:r w:rsidRPr="001472FD">
          <w:rPr>
            <w:b w:val="0"/>
            <w:bCs/>
            <w:webHidden/>
          </w:rPr>
          <w:fldChar w:fldCharType="separate"/>
        </w:r>
        <w:r w:rsidR="00AA0D6A">
          <w:rPr>
            <w:b w:val="0"/>
            <w:bCs/>
            <w:webHidden/>
          </w:rPr>
          <w:t>17</w:t>
        </w:r>
        <w:r w:rsidRPr="001472FD">
          <w:rPr>
            <w:b w:val="0"/>
            <w:bCs/>
            <w:webHidden/>
          </w:rPr>
          <w:fldChar w:fldCharType="end"/>
        </w:r>
      </w:hyperlink>
    </w:p>
    <w:p w14:paraId="1274F5ED" w14:textId="6C1DB66F" w:rsidR="001472FD" w:rsidRPr="001472FD" w:rsidRDefault="001472FD" w:rsidP="0019309F">
      <w:pPr>
        <w:pStyle w:val="TOC2"/>
        <w:rPr>
          <w:rFonts w:asciiTheme="minorHAnsi" w:eastAsiaTheme="minorEastAsia" w:hAnsiTheme="minorHAnsi" w:cstheme="minorBidi"/>
          <w:b w:val="0"/>
          <w:bCs/>
          <w:color w:val="auto"/>
          <w:kern w:val="2"/>
          <w:lang w:eastAsia="en-AU"/>
          <w14:ligatures w14:val="standardContextual"/>
        </w:rPr>
      </w:pPr>
      <w:hyperlink w:anchor="_Toc219884880" w:history="1">
        <w:r w:rsidRPr="001472FD">
          <w:rPr>
            <w:rStyle w:val="Hyperlink"/>
            <w:b w:val="0"/>
            <w:bCs/>
          </w:rPr>
          <w:t>4.3.</w:t>
        </w:r>
        <w:r w:rsidRPr="001472FD">
          <w:rPr>
            <w:rFonts w:asciiTheme="minorHAnsi" w:eastAsiaTheme="minorEastAsia" w:hAnsiTheme="minorHAnsi" w:cstheme="minorBidi"/>
            <w:b w:val="0"/>
            <w:bCs/>
            <w:color w:val="auto"/>
            <w:kern w:val="2"/>
            <w:lang w:eastAsia="en-AU"/>
            <w14:ligatures w14:val="standardContextual"/>
          </w:rPr>
          <w:tab/>
        </w:r>
        <w:r w:rsidRPr="001472FD">
          <w:rPr>
            <w:rStyle w:val="Hyperlink"/>
            <w:b w:val="0"/>
            <w:bCs/>
          </w:rPr>
          <w:t xml:space="preserve">Voluntary </w:t>
        </w:r>
        <w:r w:rsidR="00112900">
          <w:rPr>
            <w:rStyle w:val="Hyperlink"/>
            <w:b w:val="0"/>
            <w:bCs/>
          </w:rPr>
          <w:t>s</w:t>
        </w:r>
        <w:r w:rsidRPr="001472FD">
          <w:rPr>
            <w:rStyle w:val="Hyperlink"/>
            <w:b w:val="0"/>
            <w:bCs/>
          </w:rPr>
          <w:t xml:space="preserve">haring </w:t>
        </w:r>
        <w:r w:rsidR="00112900">
          <w:rPr>
            <w:rStyle w:val="Hyperlink"/>
            <w:b w:val="0"/>
            <w:bCs/>
          </w:rPr>
          <w:t>a</w:t>
        </w:r>
        <w:r w:rsidRPr="001472FD">
          <w:rPr>
            <w:rStyle w:val="Hyperlink"/>
            <w:b w:val="0"/>
            <w:bCs/>
          </w:rPr>
          <w:t>rrangements</w:t>
        </w:r>
        <w:r w:rsidRPr="001472FD">
          <w:rPr>
            <w:b w:val="0"/>
            <w:bCs/>
            <w:webHidden/>
          </w:rPr>
          <w:tab/>
        </w:r>
        <w:r w:rsidRPr="001472FD">
          <w:rPr>
            <w:b w:val="0"/>
            <w:bCs/>
            <w:webHidden/>
          </w:rPr>
          <w:fldChar w:fldCharType="begin"/>
        </w:r>
        <w:r w:rsidRPr="001472FD">
          <w:rPr>
            <w:b w:val="0"/>
            <w:bCs/>
            <w:webHidden/>
          </w:rPr>
          <w:instrText xml:space="preserve"> PAGEREF _Toc219884880 \h </w:instrText>
        </w:r>
        <w:r w:rsidRPr="001472FD">
          <w:rPr>
            <w:b w:val="0"/>
            <w:bCs/>
            <w:webHidden/>
          </w:rPr>
        </w:r>
        <w:r w:rsidRPr="001472FD">
          <w:rPr>
            <w:b w:val="0"/>
            <w:bCs/>
            <w:webHidden/>
          </w:rPr>
          <w:fldChar w:fldCharType="separate"/>
        </w:r>
        <w:r w:rsidR="00AA0D6A">
          <w:rPr>
            <w:b w:val="0"/>
            <w:bCs/>
            <w:webHidden/>
          </w:rPr>
          <w:t>19</w:t>
        </w:r>
        <w:r w:rsidRPr="001472FD">
          <w:rPr>
            <w:b w:val="0"/>
            <w:bCs/>
            <w:webHidden/>
          </w:rPr>
          <w:fldChar w:fldCharType="end"/>
        </w:r>
      </w:hyperlink>
    </w:p>
    <w:p w14:paraId="7D232482" w14:textId="75B742D4" w:rsidR="001472FD" w:rsidRPr="001472FD" w:rsidRDefault="001472FD" w:rsidP="0019309F">
      <w:pPr>
        <w:pStyle w:val="TOC2"/>
        <w:rPr>
          <w:rFonts w:asciiTheme="minorHAnsi" w:eastAsiaTheme="minorEastAsia" w:hAnsiTheme="minorHAnsi" w:cstheme="minorBidi"/>
          <w:b w:val="0"/>
          <w:bCs/>
          <w:color w:val="auto"/>
          <w:kern w:val="2"/>
          <w:lang w:eastAsia="en-AU"/>
          <w14:ligatures w14:val="standardContextual"/>
        </w:rPr>
      </w:pPr>
      <w:hyperlink w:anchor="_Toc219884883" w:history="1">
        <w:r w:rsidRPr="001472FD">
          <w:rPr>
            <w:rStyle w:val="Hyperlink"/>
            <w:b w:val="0"/>
            <w:bCs/>
          </w:rPr>
          <w:t>4.4.</w:t>
        </w:r>
        <w:r w:rsidRPr="001472FD">
          <w:rPr>
            <w:rFonts w:asciiTheme="minorHAnsi" w:eastAsiaTheme="minorEastAsia" w:hAnsiTheme="minorHAnsi" w:cstheme="minorBidi"/>
            <w:b w:val="0"/>
            <w:bCs/>
            <w:color w:val="auto"/>
            <w:kern w:val="2"/>
            <w:lang w:eastAsia="en-AU"/>
            <w14:ligatures w14:val="standardContextual"/>
          </w:rPr>
          <w:tab/>
        </w:r>
        <w:r w:rsidRPr="001472FD">
          <w:rPr>
            <w:rStyle w:val="Hyperlink"/>
            <w:b w:val="0"/>
            <w:bCs/>
          </w:rPr>
          <w:t xml:space="preserve">Park </w:t>
        </w:r>
        <w:r w:rsidR="00112900">
          <w:rPr>
            <w:rStyle w:val="Hyperlink"/>
            <w:b w:val="0"/>
            <w:bCs/>
          </w:rPr>
          <w:t>r</w:t>
        </w:r>
        <w:r w:rsidRPr="001472FD">
          <w:rPr>
            <w:rStyle w:val="Hyperlink"/>
            <w:b w:val="0"/>
            <w:bCs/>
          </w:rPr>
          <w:t>ules</w:t>
        </w:r>
        <w:r w:rsidRPr="001472FD">
          <w:rPr>
            <w:b w:val="0"/>
            <w:bCs/>
            <w:webHidden/>
          </w:rPr>
          <w:tab/>
        </w:r>
        <w:r w:rsidRPr="001472FD">
          <w:rPr>
            <w:b w:val="0"/>
            <w:bCs/>
            <w:webHidden/>
          </w:rPr>
          <w:fldChar w:fldCharType="begin"/>
        </w:r>
        <w:r w:rsidRPr="001472FD">
          <w:rPr>
            <w:b w:val="0"/>
            <w:bCs/>
            <w:webHidden/>
          </w:rPr>
          <w:instrText xml:space="preserve"> PAGEREF _Toc219884883 \h </w:instrText>
        </w:r>
        <w:r w:rsidRPr="001472FD">
          <w:rPr>
            <w:b w:val="0"/>
            <w:bCs/>
            <w:webHidden/>
          </w:rPr>
        </w:r>
        <w:r w:rsidRPr="001472FD">
          <w:rPr>
            <w:b w:val="0"/>
            <w:bCs/>
            <w:webHidden/>
          </w:rPr>
          <w:fldChar w:fldCharType="separate"/>
        </w:r>
        <w:r w:rsidR="00AA0D6A">
          <w:rPr>
            <w:b w:val="0"/>
            <w:bCs/>
            <w:webHidden/>
          </w:rPr>
          <w:t>20</w:t>
        </w:r>
        <w:r w:rsidRPr="001472FD">
          <w:rPr>
            <w:b w:val="0"/>
            <w:bCs/>
            <w:webHidden/>
          </w:rPr>
          <w:fldChar w:fldCharType="end"/>
        </w:r>
      </w:hyperlink>
    </w:p>
    <w:p w14:paraId="4AD55BF5" w14:textId="1281E3B7" w:rsidR="001472FD" w:rsidRPr="001472FD" w:rsidRDefault="001472FD" w:rsidP="0019309F">
      <w:pPr>
        <w:pStyle w:val="TOC2"/>
        <w:rPr>
          <w:rFonts w:asciiTheme="minorHAnsi" w:eastAsiaTheme="minorEastAsia" w:hAnsiTheme="minorHAnsi" w:cstheme="minorBidi"/>
          <w:b w:val="0"/>
          <w:bCs/>
          <w:color w:val="auto"/>
          <w:kern w:val="2"/>
          <w:lang w:eastAsia="en-AU"/>
          <w14:ligatures w14:val="standardContextual"/>
        </w:rPr>
      </w:pPr>
      <w:hyperlink w:anchor="_Toc219884887" w:history="1">
        <w:r w:rsidRPr="001472FD">
          <w:rPr>
            <w:rStyle w:val="Hyperlink"/>
            <w:b w:val="0"/>
            <w:bCs/>
          </w:rPr>
          <w:t>4.5.</w:t>
        </w:r>
        <w:r w:rsidRPr="001472FD">
          <w:rPr>
            <w:rFonts w:asciiTheme="minorHAnsi" w:eastAsiaTheme="minorEastAsia" w:hAnsiTheme="minorHAnsi" w:cstheme="minorBidi"/>
            <w:b w:val="0"/>
            <w:bCs/>
            <w:color w:val="auto"/>
            <w:kern w:val="2"/>
            <w:lang w:eastAsia="en-AU"/>
            <w14:ligatures w14:val="standardContextual"/>
          </w:rPr>
          <w:tab/>
        </w:r>
        <w:r w:rsidRPr="001472FD">
          <w:rPr>
            <w:rStyle w:val="Hyperlink"/>
            <w:b w:val="0"/>
            <w:bCs/>
          </w:rPr>
          <w:t>Park operator awareness of regulatory rights and obligations</w:t>
        </w:r>
        <w:r w:rsidRPr="001472FD">
          <w:rPr>
            <w:b w:val="0"/>
            <w:bCs/>
            <w:webHidden/>
          </w:rPr>
          <w:tab/>
        </w:r>
        <w:r w:rsidRPr="001472FD">
          <w:rPr>
            <w:b w:val="0"/>
            <w:bCs/>
            <w:webHidden/>
          </w:rPr>
          <w:fldChar w:fldCharType="begin"/>
        </w:r>
        <w:r w:rsidRPr="001472FD">
          <w:rPr>
            <w:b w:val="0"/>
            <w:bCs/>
            <w:webHidden/>
          </w:rPr>
          <w:instrText xml:space="preserve"> PAGEREF _Toc219884887 \h </w:instrText>
        </w:r>
        <w:r w:rsidRPr="001472FD">
          <w:rPr>
            <w:b w:val="0"/>
            <w:bCs/>
            <w:webHidden/>
          </w:rPr>
        </w:r>
        <w:r w:rsidRPr="001472FD">
          <w:rPr>
            <w:b w:val="0"/>
            <w:bCs/>
            <w:webHidden/>
          </w:rPr>
          <w:fldChar w:fldCharType="separate"/>
        </w:r>
        <w:r w:rsidR="00AA0D6A">
          <w:rPr>
            <w:b w:val="0"/>
            <w:bCs/>
            <w:webHidden/>
          </w:rPr>
          <w:t>21</w:t>
        </w:r>
        <w:r w:rsidRPr="001472FD">
          <w:rPr>
            <w:b w:val="0"/>
            <w:bCs/>
            <w:webHidden/>
          </w:rPr>
          <w:fldChar w:fldCharType="end"/>
        </w:r>
      </w:hyperlink>
    </w:p>
    <w:p w14:paraId="34D4F6B1" w14:textId="3AED78C4" w:rsidR="001472FD" w:rsidRPr="001472FD" w:rsidRDefault="001472FD" w:rsidP="0019309F">
      <w:pPr>
        <w:pStyle w:val="TOC2"/>
        <w:rPr>
          <w:rFonts w:asciiTheme="minorHAnsi" w:eastAsiaTheme="minorEastAsia" w:hAnsiTheme="minorHAnsi" w:cstheme="minorBidi"/>
          <w:b w:val="0"/>
          <w:bCs/>
          <w:color w:val="auto"/>
          <w:kern w:val="2"/>
          <w:lang w:eastAsia="en-AU"/>
          <w14:ligatures w14:val="standardContextual"/>
        </w:rPr>
      </w:pPr>
      <w:hyperlink w:anchor="_Toc219884891" w:history="1">
        <w:r w:rsidRPr="001472FD">
          <w:rPr>
            <w:rStyle w:val="Hyperlink"/>
            <w:b w:val="0"/>
            <w:bCs/>
          </w:rPr>
          <w:t>4.6.</w:t>
        </w:r>
        <w:r w:rsidRPr="001472FD">
          <w:rPr>
            <w:rFonts w:asciiTheme="minorHAnsi" w:eastAsiaTheme="minorEastAsia" w:hAnsiTheme="minorHAnsi" w:cstheme="minorBidi"/>
            <w:b w:val="0"/>
            <w:bCs/>
            <w:color w:val="auto"/>
            <w:kern w:val="2"/>
            <w:lang w:eastAsia="en-AU"/>
            <w14:ligatures w14:val="standardContextual"/>
          </w:rPr>
          <w:tab/>
        </w:r>
        <w:r w:rsidRPr="001472FD">
          <w:rPr>
            <w:rStyle w:val="Hyperlink"/>
            <w:b w:val="0"/>
            <w:bCs/>
          </w:rPr>
          <w:t>Retaliatory action</w:t>
        </w:r>
        <w:r w:rsidRPr="001472FD">
          <w:rPr>
            <w:b w:val="0"/>
            <w:bCs/>
            <w:webHidden/>
          </w:rPr>
          <w:tab/>
        </w:r>
        <w:r w:rsidRPr="001472FD">
          <w:rPr>
            <w:b w:val="0"/>
            <w:bCs/>
            <w:webHidden/>
          </w:rPr>
          <w:fldChar w:fldCharType="begin"/>
        </w:r>
        <w:r w:rsidRPr="001472FD">
          <w:rPr>
            <w:b w:val="0"/>
            <w:bCs/>
            <w:webHidden/>
          </w:rPr>
          <w:instrText xml:space="preserve"> PAGEREF _Toc219884891 \h </w:instrText>
        </w:r>
        <w:r w:rsidRPr="001472FD">
          <w:rPr>
            <w:b w:val="0"/>
            <w:bCs/>
            <w:webHidden/>
          </w:rPr>
        </w:r>
        <w:r w:rsidRPr="001472FD">
          <w:rPr>
            <w:b w:val="0"/>
            <w:bCs/>
            <w:webHidden/>
          </w:rPr>
          <w:fldChar w:fldCharType="separate"/>
        </w:r>
        <w:r w:rsidR="00AA0D6A">
          <w:rPr>
            <w:b w:val="0"/>
            <w:bCs/>
            <w:webHidden/>
          </w:rPr>
          <w:t>22</w:t>
        </w:r>
        <w:r w:rsidRPr="001472FD">
          <w:rPr>
            <w:b w:val="0"/>
            <w:bCs/>
            <w:webHidden/>
          </w:rPr>
          <w:fldChar w:fldCharType="end"/>
        </w:r>
      </w:hyperlink>
    </w:p>
    <w:p w14:paraId="0559C959" w14:textId="5B0ECE5E" w:rsidR="001472FD" w:rsidRPr="001472FD" w:rsidRDefault="001472FD" w:rsidP="0019309F">
      <w:pPr>
        <w:pStyle w:val="TOC2"/>
        <w:rPr>
          <w:rFonts w:asciiTheme="minorHAnsi" w:eastAsiaTheme="minorEastAsia" w:hAnsiTheme="minorHAnsi" w:cstheme="minorBidi"/>
          <w:b w:val="0"/>
          <w:bCs/>
          <w:color w:val="auto"/>
          <w:kern w:val="2"/>
          <w:lang w:eastAsia="en-AU"/>
          <w14:ligatures w14:val="standardContextual"/>
        </w:rPr>
      </w:pPr>
      <w:hyperlink w:anchor="_Toc219884895" w:history="1">
        <w:r w:rsidRPr="001472FD">
          <w:rPr>
            <w:rStyle w:val="Hyperlink"/>
            <w:b w:val="0"/>
            <w:bCs/>
          </w:rPr>
          <w:t>4.7.</w:t>
        </w:r>
        <w:r w:rsidRPr="001472FD">
          <w:rPr>
            <w:rFonts w:asciiTheme="minorHAnsi" w:eastAsiaTheme="minorEastAsia" w:hAnsiTheme="minorHAnsi" w:cstheme="minorBidi"/>
            <w:b w:val="0"/>
            <w:bCs/>
            <w:color w:val="auto"/>
            <w:kern w:val="2"/>
            <w:lang w:eastAsia="en-AU"/>
            <w14:ligatures w14:val="standardContextual"/>
          </w:rPr>
          <w:tab/>
        </w:r>
        <w:r w:rsidRPr="001472FD">
          <w:rPr>
            <w:rStyle w:val="Hyperlink"/>
            <w:b w:val="0"/>
            <w:bCs/>
          </w:rPr>
          <w:t xml:space="preserve">Park </w:t>
        </w:r>
        <w:r w:rsidR="00112900">
          <w:rPr>
            <w:rStyle w:val="Hyperlink"/>
            <w:b w:val="0"/>
            <w:bCs/>
          </w:rPr>
          <w:t>l</w:t>
        </w:r>
        <w:r w:rsidRPr="001472FD">
          <w:rPr>
            <w:rStyle w:val="Hyperlink"/>
            <w:b w:val="0"/>
            <w:bCs/>
          </w:rPr>
          <w:t xml:space="preserve">iaison </w:t>
        </w:r>
        <w:r w:rsidR="00112900">
          <w:rPr>
            <w:rStyle w:val="Hyperlink"/>
            <w:b w:val="0"/>
            <w:bCs/>
          </w:rPr>
          <w:t>c</w:t>
        </w:r>
        <w:r w:rsidRPr="001472FD">
          <w:rPr>
            <w:rStyle w:val="Hyperlink"/>
            <w:b w:val="0"/>
            <w:bCs/>
          </w:rPr>
          <w:t>ommittees</w:t>
        </w:r>
        <w:r w:rsidRPr="001472FD">
          <w:rPr>
            <w:b w:val="0"/>
            <w:bCs/>
            <w:webHidden/>
          </w:rPr>
          <w:tab/>
        </w:r>
        <w:r w:rsidRPr="001472FD">
          <w:rPr>
            <w:b w:val="0"/>
            <w:bCs/>
            <w:webHidden/>
          </w:rPr>
          <w:fldChar w:fldCharType="begin"/>
        </w:r>
        <w:r w:rsidRPr="001472FD">
          <w:rPr>
            <w:b w:val="0"/>
            <w:bCs/>
            <w:webHidden/>
          </w:rPr>
          <w:instrText xml:space="preserve"> PAGEREF _Toc219884895 \h </w:instrText>
        </w:r>
        <w:r w:rsidRPr="001472FD">
          <w:rPr>
            <w:b w:val="0"/>
            <w:bCs/>
            <w:webHidden/>
          </w:rPr>
        </w:r>
        <w:r w:rsidRPr="001472FD">
          <w:rPr>
            <w:b w:val="0"/>
            <w:bCs/>
            <w:webHidden/>
          </w:rPr>
          <w:fldChar w:fldCharType="separate"/>
        </w:r>
        <w:r w:rsidR="00AA0D6A">
          <w:rPr>
            <w:b w:val="0"/>
            <w:bCs/>
            <w:webHidden/>
          </w:rPr>
          <w:t>23</w:t>
        </w:r>
        <w:r w:rsidRPr="001472FD">
          <w:rPr>
            <w:b w:val="0"/>
            <w:bCs/>
            <w:webHidden/>
          </w:rPr>
          <w:fldChar w:fldCharType="end"/>
        </w:r>
      </w:hyperlink>
    </w:p>
    <w:p w14:paraId="45F66FE4" w14:textId="126D699C" w:rsidR="001472FD" w:rsidRPr="001472FD" w:rsidRDefault="001472FD" w:rsidP="0019309F">
      <w:pPr>
        <w:pStyle w:val="TOC2"/>
        <w:rPr>
          <w:rFonts w:asciiTheme="minorHAnsi" w:eastAsiaTheme="minorEastAsia" w:hAnsiTheme="minorHAnsi" w:cstheme="minorBidi"/>
          <w:b w:val="0"/>
          <w:bCs/>
          <w:color w:val="auto"/>
          <w:kern w:val="2"/>
          <w:lang w:eastAsia="en-AU"/>
          <w14:ligatures w14:val="standardContextual"/>
        </w:rPr>
      </w:pPr>
      <w:hyperlink w:anchor="_Toc219884899" w:history="1">
        <w:r w:rsidRPr="001472FD">
          <w:rPr>
            <w:rStyle w:val="Hyperlink"/>
            <w:b w:val="0"/>
            <w:bCs/>
          </w:rPr>
          <w:t>4.8.</w:t>
        </w:r>
        <w:r w:rsidRPr="001472FD">
          <w:rPr>
            <w:rFonts w:asciiTheme="minorHAnsi" w:eastAsiaTheme="minorEastAsia" w:hAnsiTheme="minorHAnsi" w:cstheme="minorBidi"/>
            <w:b w:val="0"/>
            <w:bCs/>
            <w:color w:val="auto"/>
            <w:kern w:val="2"/>
            <w:lang w:eastAsia="en-AU"/>
            <w14:ligatures w14:val="standardContextual"/>
          </w:rPr>
          <w:tab/>
        </w:r>
        <w:r w:rsidRPr="001472FD">
          <w:rPr>
            <w:rStyle w:val="Hyperlink"/>
            <w:b w:val="0"/>
            <w:bCs/>
          </w:rPr>
          <w:t xml:space="preserve">Maintenance and </w:t>
        </w:r>
        <w:r w:rsidR="00112900">
          <w:rPr>
            <w:rStyle w:val="Hyperlink"/>
            <w:b w:val="0"/>
            <w:bCs/>
          </w:rPr>
          <w:t>r</w:t>
        </w:r>
        <w:r w:rsidRPr="001472FD">
          <w:rPr>
            <w:rStyle w:val="Hyperlink"/>
            <w:b w:val="0"/>
            <w:bCs/>
          </w:rPr>
          <w:t>epair</w:t>
        </w:r>
        <w:r w:rsidRPr="001472FD">
          <w:rPr>
            <w:b w:val="0"/>
            <w:bCs/>
            <w:webHidden/>
          </w:rPr>
          <w:tab/>
        </w:r>
        <w:r w:rsidRPr="001472FD">
          <w:rPr>
            <w:b w:val="0"/>
            <w:bCs/>
            <w:webHidden/>
          </w:rPr>
          <w:fldChar w:fldCharType="begin"/>
        </w:r>
        <w:r w:rsidRPr="001472FD">
          <w:rPr>
            <w:b w:val="0"/>
            <w:bCs/>
            <w:webHidden/>
          </w:rPr>
          <w:instrText xml:space="preserve"> PAGEREF _Toc219884899 \h </w:instrText>
        </w:r>
        <w:r w:rsidRPr="001472FD">
          <w:rPr>
            <w:b w:val="0"/>
            <w:bCs/>
            <w:webHidden/>
          </w:rPr>
        </w:r>
        <w:r w:rsidRPr="001472FD">
          <w:rPr>
            <w:b w:val="0"/>
            <w:bCs/>
            <w:webHidden/>
          </w:rPr>
          <w:fldChar w:fldCharType="separate"/>
        </w:r>
        <w:r w:rsidR="00AA0D6A">
          <w:rPr>
            <w:b w:val="0"/>
            <w:bCs/>
            <w:webHidden/>
          </w:rPr>
          <w:t>24</w:t>
        </w:r>
        <w:r w:rsidRPr="001472FD">
          <w:rPr>
            <w:b w:val="0"/>
            <w:bCs/>
            <w:webHidden/>
          </w:rPr>
          <w:fldChar w:fldCharType="end"/>
        </w:r>
      </w:hyperlink>
    </w:p>
    <w:p w14:paraId="0E2C1078" w14:textId="6A8BF634" w:rsidR="001472FD" w:rsidRPr="001472FD" w:rsidRDefault="001472FD" w:rsidP="0019309F">
      <w:pPr>
        <w:pStyle w:val="TOC2"/>
        <w:rPr>
          <w:rFonts w:asciiTheme="minorHAnsi" w:eastAsiaTheme="minorEastAsia" w:hAnsiTheme="minorHAnsi" w:cstheme="minorBidi"/>
          <w:b w:val="0"/>
          <w:bCs/>
          <w:color w:val="auto"/>
          <w:kern w:val="2"/>
          <w:lang w:eastAsia="en-AU"/>
          <w14:ligatures w14:val="standardContextual"/>
        </w:rPr>
      </w:pPr>
      <w:hyperlink w:anchor="_Toc219884903" w:history="1">
        <w:r w:rsidRPr="001472FD">
          <w:rPr>
            <w:rStyle w:val="Hyperlink"/>
            <w:b w:val="0"/>
            <w:bCs/>
          </w:rPr>
          <w:t>4.9.</w:t>
        </w:r>
        <w:r w:rsidRPr="001472FD">
          <w:rPr>
            <w:rFonts w:asciiTheme="minorHAnsi" w:eastAsiaTheme="minorEastAsia" w:hAnsiTheme="minorHAnsi" w:cstheme="minorBidi"/>
            <w:b w:val="0"/>
            <w:bCs/>
            <w:color w:val="auto"/>
            <w:kern w:val="2"/>
            <w:lang w:eastAsia="en-AU"/>
            <w14:ligatures w14:val="standardContextual"/>
          </w:rPr>
          <w:tab/>
        </w:r>
        <w:r w:rsidRPr="001472FD">
          <w:rPr>
            <w:rStyle w:val="Hyperlink"/>
            <w:b w:val="0"/>
            <w:bCs/>
          </w:rPr>
          <w:t xml:space="preserve">Dispute </w:t>
        </w:r>
        <w:r w:rsidR="00112900">
          <w:rPr>
            <w:rStyle w:val="Hyperlink"/>
            <w:b w:val="0"/>
            <w:bCs/>
          </w:rPr>
          <w:t>r</w:t>
        </w:r>
        <w:r w:rsidRPr="001472FD">
          <w:rPr>
            <w:rStyle w:val="Hyperlink"/>
            <w:b w:val="0"/>
            <w:bCs/>
          </w:rPr>
          <w:t>esolution</w:t>
        </w:r>
        <w:r w:rsidRPr="001472FD">
          <w:rPr>
            <w:b w:val="0"/>
            <w:bCs/>
            <w:webHidden/>
          </w:rPr>
          <w:tab/>
        </w:r>
        <w:r w:rsidRPr="001472FD">
          <w:rPr>
            <w:b w:val="0"/>
            <w:bCs/>
            <w:webHidden/>
          </w:rPr>
          <w:fldChar w:fldCharType="begin"/>
        </w:r>
        <w:r w:rsidRPr="001472FD">
          <w:rPr>
            <w:b w:val="0"/>
            <w:bCs/>
            <w:webHidden/>
          </w:rPr>
          <w:instrText xml:space="preserve"> PAGEREF _Toc219884903 \h </w:instrText>
        </w:r>
        <w:r w:rsidRPr="001472FD">
          <w:rPr>
            <w:b w:val="0"/>
            <w:bCs/>
            <w:webHidden/>
          </w:rPr>
        </w:r>
        <w:r w:rsidRPr="001472FD">
          <w:rPr>
            <w:b w:val="0"/>
            <w:bCs/>
            <w:webHidden/>
          </w:rPr>
          <w:fldChar w:fldCharType="separate"/>
        </w:r>
        <w:r w:rsidR="00AA0D6A">
          <w:rPr>
            <w:b w:val="0"/>
            <w:bCs/>
            <w:webHidden/>
          </w:rPr>
          <w:t>25</w:t>
        </w:r>
        <w:r w:rsidRPr="001472FD">
          <w:rPr>
            <w:b w:val="0"/>
            <w:bCs/>
            <w:webHidden/>
          </w:rPr>
          <w:fldChar w:fldCharType="end"/>
        </w:r>
      </w:hyperlink>
    </w:p>
    <w:p w14:paraId="109B1B3B" w14:textId="0B820F14" w:rsidR="001472FD" w:rsidRPr="001472FD" w:rsidRDefault="001472FD" w:rsidP="0019309F">
      <w:pPr>
        <w:pStyle w:val="TOC2"/>
        <w:rPr>
          <w:rFonts w:asciiTheme="minorHAnsi" w:eastAsiaTheme="minorEastAsia" w:hAnsiTheme="minorHAnsi" w:cstheme="minorBidi"/>
          <w:b w:val="0"/>
          <w:bCs/>
          <w:color w:val="auto"/>
          <w:kern w:val="2"/>
          <w:lang w:eastAsia="en-AU"/>
          <w14:ligatures w14:val="standardContextual"/>
        </w:rPr>
      </w:pPr>
      <w:hyperlink w:anchor="_Toc219884907" w:history="1">
        <w:r w:rsidRPr="001472FD">
          <w:rPr>
            <w:rStyle w:val="Hyperlink"/>
            <w:b w:val="0"/>
            <w:bCs/>
          </w:rPr>
          <w:t>4.10.</w:t>
        </w:r>
        <w:r w:rsidRPr="001472FD">
          <w:rPr>
            <w:rFonts w:asciiTheme="minorHAnsi" w:eastAsiaTheme="minorEastAsia" w:hAnsiTheme="minorHAnsi" w:cstheme="minorBidi"/>
            <w:b w:val="0"/>
            <w:bCs/>
            <w:color w:val="auto"/>
            <w:kern w:val="2"/>
            <w:lang w:eastAsia="en-AU"/>
            <w14:ligatures w14:val="standardContextual"/>
          </w:rPr>
          <w:tab/>
        </w:r>
        <w:r w:rsidRPr="001472FD">
          <w:rPr>
            <w:rStyle w:val="Hyperlink"/>
            <w:b w:val="0"/>
            <w:bCs/>
          </w:rPr>
          <w:t>Sale of homes</w:t>
        </w:r>
        <w:r w:rsidRPr="001472FD">
          <w:rPr>
            <w:b w:val="0"/>
            <w:bCs/>
            <w:webHidden/>
          </w:rPr>
          <w:tab/>
        </w:r>
        <w:r w:rsidRPr="001472FD">
          <w:rPr>
            <w:b w:val="0"/>
            <w:bCs/>
            <w:webHidden/>
          </w:rPr>
          <w:fldChar w:fldCharType="begin"/>
        </w:r>
        <w:r w:rsidRPr="001472FD">
          <w:rPr>
            <w:b w:val="0"/>
            <w:bCs/>
            <w:webHidden/>
          </w:rPr>
          <w:instrText xml:space="preserve"> PAGEREF _Toc219884907 \h </w:instrText>
        </w:r>
        <w:r w:rsidRPr="001472FD">
          <w:rPr>
            <w:b w:val="0"/>
            <w:bCs/>
            <w:webHidden/>
          </w:rPr>
        </w:r>
        <w:r w:rsidRPr="001472FD">
          <w:rPr>
            <w:b w:val="0"/>
            <w:bCs/>
            <w:webHidden/>
          </w:rPr>
          <w:fldChar w:fldCharType="separate"/>
        </w:r>
        <w:r w:rsidR="00AA0D6A">
          <w:rPr>
            <w:b w:val="0"/>
            <w:bCs/>
            <w:webHidden/>
          </w:rPr>
          <w:t>27</w:t>
        </w:r>
        <w:r w:rsidRPr="001472FD">
          <w:rPr>
            <w:b w:val="0"/>
            <w:bCs/>
            <w:webHidden/>
          </w:rPr>
          <w:fldChar w:fldCharType="end"/>
        </w:r>
      </w:hyperlink>
    </w:p>
    <w:p w14:paraId="6FD0B431" w14:textId="053D0765" w:rsidR="001472FD" w:rsidRDefault="001472FD" w:rsidP="0019309F">
      <w:pPr>
        <w:pStyle w:val="TOC1"/>
        <w:rPr>
          <w:rFonts w:asciiTheme="minorHAnsi" w:eastAsiaTheme="minorEastAsia" w:hAnsiTheme="minorHAnsi" w:cstheme="minorBidi"/>
          <w:b w:val="0"/>
          <w:noProof/>
          <w:color w:val="auto"/>
          <w:kern w:val="2"/>
          <w:sz w:val="24"/>
          <w:lang w:eastAsia="en-AU"/>
          <w14:ligatures w14:val="standardContextual"/>
        </w:rPr>
      </w:pPr>
      <w:hyperlink w:anchor="_Toc219884911" w:history="1">
        <w:r w:rsidRPr="00EA7DB7">
          <w:rPr>
            <w:rStyle w:val="Hyperlink"/>
            <w:noProof/>
          </w:rPr>
          <w:t>5.</w:t>
        </w:r>
        <w:r>
          <w:rPr>
            <w:rFonts w:asciiTheme="minorHAnsi" w:eastAsiaTheme="minorEastAsia" w:hAnsiTheme="minorHAnsi" w:cstheme="minorBidi"/>
            <w:b w:val="0"/>
            <w:noProof/>
            <w:color w:val="auto"/>
            <w:kern w:val="2"/>
            <w:sz w:val="24"/>
            <w:lang w:eastAsia="en-AU"/>
            <w14:ligatures w14:val="standardContextual"/>
          </w:rPr>
          <w:tab/>
        </w:r>
        <w:r w:rsidRPr="00EA7DB7">
          <w:rPr>
            <w:rStyle w:val="Hyperlink"/>
            <w:noProof/>
          </w:rPr>
          <w:t>End of a tenancy</w:t>
        </w:r>
        <w:r>
          <w:rPr>
            <w:noProof/>
            <w:webHidden/>
          </w:rPr>
          <w:tab/>
        </w:r>
        <w:r>
          <w:rPr>
            <w:noProof/>
            <w:webHidden/>
          </w:rPr>
          <w:fldChar w:fldCharType="begin"/>
        </w:r>
        <w:r>
          <w:rPr>
            <w:noProof/>
            <w:webHidden/>
          </w:rPr>
          <w:instrText xml:space="preserve"> PAGEREF _Toc219884911 \h </w:instrText>
        </w:r>
        <w:r>
          <w:rPr>
            <w:noProof/>
            <w:webHidden/>
          </w:rPr>
        </w:r>
        <w:r>
          <w:rPr>
            <w:noProof/>
            <w:webHidden/>
          </w:rPr>
          <w:fldChar w:fldCharType="separate"/>
        </w:r>
        <w:r w:rsidR="00AA0D6A">
          <w:rPr>
            <w:noProof/>
            <w:webHidden/>
          </w:rPr>
          <w:t>29</w:t>
        </w:r>
        <w:r>
          <w:rPr>
            <w:noProof/>
            <w:webHidden/>
          </w:rPr>
          <w:fldChar w:fldCharType="end"/>
        </w:r>
      </w:hyperlink>
    </w:p>
    <w:p w14:paraId="349DA287" w14:textId="7ABE9824" w:rsidR="001472FD" w:rsidRPr="001472FD" w:rsidRDefault="001472FD" w:rsidP="0019309F">
      <w:pPr>
        <w:pStyle w:val="TOC2"/>
        <w:rPr>
          <w:rFonts w:asciiTheme="minorHAnsi" w:eastAsiaTheme="minorEastAsia" w:hAnsiTheme="minorHAnsi" w:cstheme="minorBidi"/>
          <w:b w:val="0"/>
          <w:bCs/>
          <w:color w:val="auto"/>
          <w:kern w:val="2"/>
          <w:lang w:eastAsia="en-AU"/>
          <w14:ligatures w14:val="standardContextual"/>
        </w:rPr>
      </w:pPr>
      <w:hyperlink w:anchor="_Toc219884912" w:history="1">
        <w:r w:rsidRPr="001472FD">
          <w:rPr>
            <w:rStyle w:val="Hyperlink"/>
            <w:b w:val="0"/>
            <w:bCs/>
          </w:rPr>
          <w:t>5.1.</w:t>
        </w:r>
        <w:r w:rsidRPr="001472FD">
          <w:rPr>
            <w:rFonts w:asciiTheme="minorHAnsi" w:eastAsiaTheme="minorEastAsia" w:hAnsiTheme="minorHAnsi" w:cstheme="minorBidi"/>
            <w:b w:val="0"/>
            <w:bCs/>
            <w:color w:val="auto"/>
            <w:kern w:val="2"/>
            <w:lang w:eastAsia="en-AU"/>
            <w14:ligatures w14:val="standardContextual"/>
          </w:rPr>
          <w:tab/>
        </w:r>
        <w:r w:rsidRPr="001472FD">
          <w:rPr>
            <w:rStyle w:val="Hyperlink"/>
            <w:b w:val="0"/>
            <w:bCs/>
          </w:rPr>
          <w:t>Grounds for termination</w:t>
        </w:r>
        <w:r w:rsidRPr="001472FD">
          <w:rPr>
            <w:b w:val="0"/>
            <w:bCs/>
            <w:webHidden/>
          </w:rPr>
          <w:tab/>
        </w:r>
        <w:r w:rsidRPr="001472FD">
          <w:rPr>
            <w:b w:val="0"/>
            <w:bCs/>
            <w:webHidden/>
          </w:rPr>
          <w:fldChar w:fldCharType="begin"/>
        </w:r>
        <w:r w:rsidRPr="001472FD">
          <w:rPr>
            <w:b w:val="0"/>
            <w:bCs/>
            <w:webHidden/>
          </w:rPr>
          <w:instrText xml:space="preserve"> PAGEREF _Toc219884912 \h </w:instrText>
        </w:r>
        <w:r w:rsidRPr="001472FD">
          <w:rPr>
            <w:b w:val="0"/>
            <w:bCs/>
            <w:webHidden/>
          </w:rPr>
        </w:r>
        <w:r w:rsidRPr="001472FD">
          <w:rPr>
            <w:b w:val="0"/>
            <w:bCs/>
            <w:webHidden/>
          </w:rPr>
          <w:fldChar w:fldCharType="separate"/>
        </w:r>
        <w:r w:rsidR="00AA0D6A">
          <w:rPr>
            <w:b w:val="0"/>
            <w:bCs/>
            <w:webHidden/>
          </w:rPr>
          <w:t>29</w:t>
        </w:r>
        <w:r w:rsidRPr="001472FD">
          <w:rPr>
            <w:b w:val="0"/>
            <w:bCs/>
            <w:webHidden/>
          </w:rPr>
          <w:fldChar w:fldCharType="end"/>
        </w:r>
      </w:hyperlink>
    </w:p>
    <w:p w14:paraId="5A0D7955" w14:textId="2AE67637" w:rsidR="001472FD" w:rsidRPr="001472FD" w:rsidRDefault="001472FD" w:rsidP="0019309F">
      <w:pPr>
        <w:pStyle w:val="TOC2"/>
        <w:rPr>
          <w:rFonts w:asciiTheme="minorHAnsi" w:eastAsiaTheme="minorEastAsia" w:hAnsiTheme="minorHAnsi" w:cstheme="minorBidi"/>
          <w:b w:val="0"/>
          <w:bCs/>
          <w:color w:val="auto"/>
          <w:kern w:val="2"/>
          <w:lang w:eastAsia="en-AU"/>
          <w14:ligatures w14:val="standardContextual"/>
        </w:rPr>
      </w:pPr>
      <w:hyperlink w:anchor="_Toc219884916" w:history="1">
        <w:r w:rsidRPr="001472FD">
          <w:rPr>
            <w:rStyle w:val="Hyperlink"/>
            <w:b w:val="0"/>
            <w:bCs/>
          </w:rPr>
          <w:t>5.2.</w:t>
        </w:r>
        <w:r w:rsidRPr="001472FD">
          <w:rPr>
            <w:rFonts w:asciiTheme="minorHAnsi" w:eastAsiaTheme="minorEastAsia" w:hAnsiTheme="minorHAnsi" w:cstheme="minorBidi"/>
            <w:b w:val="0"/>
            <w:bCs/>
            <w:color w:val="auto"/>
            <w:kern w:val="2"/>
            <w:lang w:eastAsia="en-AU"/>
            <w14:ligatures w14:val="standardContextual"/>
          </w:rPr>
          <w:tab/>
        </w:r>
        <w:r w:rsidRPr="001472FD">
          <w:rPr>
            <w:rStyle w:val="Hyperlink"/>
            <w:b w:val="0"/>
            <w:bCs/>
          </w:rPr>
          <w:t>Notice periods</w:t>
        </w:r>
        <w:r w:rsidRPr="001472FD">
          <w:rPr>
            <w:b w:val="0"/>
            <w:bCs/>
            <w:webHidden/>
          </w:rPr>
          <w:tab/>
        </w:r>
        <w:r w:rsidRPr="001472FD">
          <w:rPr>
            <w:b w:val="0"/>
            <w:bCs/>
            <w:webHidden/>
          </w:rPr>
          <w:fldChar w:fldCharType="begin"/>
        </w:r>
        <w:r w:rsidRPr="001472FD">
          <w:rPr>
            <w:b w:val="0"/>
            <w:bCs/>
            <w:webHidden/>
          </w:rPr>
          <w:instrText xml:space="preserve"> PAGEREF _Toc219884916 \h </w:instrText>
        </w:r>
        <w:r w:rsidRPr="001472FD">
          <w:rPr>
            <w:b w:val="0"/>
            <w:bCs/>
            <w:webHidden/>
          </w:rPr>
        </w:r>
        <w:r w:rsidRPr="001472FD">
          <w:rPr>
            <w:b w:val="0"/>
            <w:bCs/>
            <w:webHidden/>
          </w:rPr>
          <w:fldChar w:fldCharType="separate"/>
        </w:r>
        <w:r w:rsidR="00AA0D6A">
          <w:rPr>
            <w:b w:val="0"/>
            <w:bCs/>
            <w:webHidden/>
          </w:rPr>
          <w:t>30</w:t>
        </w:r>
        <w:r w:rsidRPr="001472FD">
          <w:rPr>
            <w:b w:val="0"/>
            <w:bCs/>
            <w:webHidden/>
          </w:rPr>
          <w:fldChar w:fldCharType="end"/>
        </w:r>
      </w:hyperlink>
    </w:p>
    <w:p w14:paraId="0D872A16" w14:textId="7075D4C9" w:rsidR="001472FD" w:rsidRDefault="001472FD" w:rsidP="0019309F">
      <w:pPr>
        <w:pStyle w:val="TOC2"/>
        <w:rPr>
          <w:rFonts w:asciiTheme="minorHAnsi" w:eastAsiaTheme="minorEastAsia" w:hAnsiTheme="minorHAnsi" w:cstheme="minorBidi"/>
          <w:b w:val="0"/>
          <w:color w:val="auto"/>
          <w:kern w:val="2"/>
          <w:lang w:eastAsia="en-AU"/>
          <w14:ligatures w14:val="standardContextual"/>
        </w:rPr>
      </w:pPr>
      <w:hyperlink w:anchor="_Toc219884920" w:history="1">
        <w:r w:rsidRPr="001472FD">
          <w:rPr>
            <w:rStyle w:val="Hyperlink"/>
            <w:b w:val="0"/>
            <w:bCs/>
          </w:rPr>
          <w:t>5.3.</w:t>
        </w:r>
        <w:r w:rsidRPr="001472FD">
          <w:rPr>
            <w:rFonts w:asciiTheme="minorHAnsi" w:eastAsiaTheme="minorEastAsia" w:hAnsiTheme="minorHAnsi" w:cstheme="minorBidi"/>
            <w:b w:val="0"/>
            <w:bCs/>
            <w:color w:val="auto"/>
            <w:kern w:val="2"/>
            <w:lang w:eastAsia="en-AU"/>
            <w14:ligatures w14:val="standardContextual"/>
          </w:rPr>
          <w:tab/>
        </w:r>
        <w:r w:rsidRPr="001472FD">
          <w:rPr>
            <w:rStyle w:val="Hyperlink"/>
            <w:b w:val="0"/>
            <w:bCs/>
          </w:rPr>
          <w:t xml:space="preserve">Engagement with </w:t>
        </w:r>
        <w:r w:rsidR="00112900">
          <w:rPr>
            <w:rStyle w:val="Hyperlink"/>
            <w:b w:val="0"/>
            <w:bCs/>
          </w:rPr>
          <w:t>t</w:t>
        </w:r>
        <w:r w:rsidRPr="001472FD">
          <w:rPr>
            <w:rStyle w:val="Hyperlink"/>
            <w:b w:val="0"/>
            <w:bCs/>
          </w:rPr>
          <w:t>enants</w:t>
        </w:r>
        <w:r w:rsidRPr="001472FD">
          <w:rPr>
            <w:b w:val="0"/>
            <w:bCs/>
            <w:webHidden/>
          </w:rPr>
          <w:tab/>
        </w:r>
        <w:r w:rsidRPr="001472FD">
          <w:rPr>
            <w:b w:val="0"/>
            <w:bCs/>
            <w:webHidden/>
          </w:rPr>
          <w:fldChar w:fldCharType="begin"/>
        </w:r>
        <w:r w:rsidRPr="001472FD">
          <w:rPr>
            <w:b w:val="0"/>
            <w:bCs/>
            <w:webHidden/>
          </w:rPr>
          <w:instrText xml:space="preserve"> PAGEREF _Toc219884920 \h </w:instrText>
        </w:r>
        <w:r w:rsidRPr="001472FD">
          <w:rPr>
            <w:b w:val="0"/>
            <w:bCs/>
            <w:webHidden/>
          </w:rPr>
        </w:r>
        <w:r w:rsidRPr="001472FD">
          <w:rPr>
            <w:b w:val="0"/>
            <w:bCs/>
            <w:webHidden/>
          </w:rPr>
          <w:fldChar w:fldCharType="separate"/>
        </w:r>
        <w:r w:rsidR="00AA0D6A">
          <w:rPr>
            <w:b w:val="0"/>
            <w:bCs/>
            <w:webHidden/>
          </w:rPr>
          <w:t>31</w:t>
        </w:r>
        <w:r w:rsidRPr="001472FD">
          <w:rPr>
            <w:b w:val="0"/>
            <w:bCs/>
            <w:webHidden/>
          </w:rPr>
          <w:fldChar w:fldCharType="end"/>
        </w:r>
      </w:hyperlink>
    </w:p>
    <w:p w14:paraId="43F3FAE4" w14:textId="5741495E" w:rsidR="001472FD" w:rsidRPr="001472FD" w:rsidRDefault="001472FD" w:rsidP="0019309F">
      <w:pPr>
        <w:pStyle w:val="TOC2"/>
        <w:rPr>
          <w:rFonts w:asciiTheme="minorHAnsi" w:eastAsiaTheme="minorEastAsia" w:hAnsiTheme="minorHAnsi" w:cstheme="minorBidi"/>
          <w:b w:val="0"/>
          <w:bCs/>
          <w:color w:val="auto"/>
          <w:kern w:val="2"/>
          <w:lang w:eastAsia="en-AU"/>
          <w14:ligatures w14:val="standardContextual"/>
        </w:rPr>
      </w:pPr>
      <w:hyperlink w:anchor="_Toc219884924" w:history="1">
        <w:r w:rsidRPr="001472FD">
          <w:rPr>
            <w:rStyle w:val="Hyperlink"/>
            <w:b w:val="0"/>
            <w:bCs/>
          </w:rPr>
          <w:t>5.4.</w:t>
        </w:r>
        <w:r w:rsidRPr="001472FD">
          <w:rPr>
            <w:rFonts w:asciiTheme="minorHAnsi" w:eastAsiaTheme="minorEastAsia" w:hAnsiTheme="minorHAnsi" w:cstheme="minorBidi"/>
            <w:b w:val="0"/>
            <w:bCs/>
            <w:color w:val="auto"/>
            <w:kern w:val="2"/>
            <w:lang w:eastAsia="en-AU"/>
            <w14:ligatures w14:val="standardContextual"/>
          </w:rPr>
          <w:tab/>
        </w:r>
        <w:r w:rsidRPr="001472FD">
          <w:rPr>
            <w:rStyle w:val="Hyperlink"/>
            <w:b w:val="0"/>
            <w:bCs/>
          </w:rPr>
          <w:t>Sub-leasing</w:t>
        </w:r>
        <w:r w:rsidRPr="001472FD">
          <w:rPr>
            <w:b w:val="0"/>
            <w:bCs/>
            <w:webHidden/>
          </w:rPr>
          <w:tab/>
        </w:r>
        <w:r w:rsidRPr="001472FD">
          <w:rPr>
            <w:b w:val="0"/>
            <w:bCs/>
            <w:webHidden/>
          </w:rPr>
          <w:fldChar w:fldCharType="begin"/>
        </w:r>
        <w:r w:rsidRPr="001472FD">
          <w:rPr>
            <w:b w:val="0"/>
            <w:bCs/>
            <w:webHidden/>
          </w:rPr>
          <w:instrText xml:space="preserve"> PAGEREF _Toc219884924 \h </w:instrText>
        </w:r>
        <w:r w:rsidRPr="001472FD">
          <w:rPr>
            <w:b w:val="0"/>
            <w:bCs/>
            <w:webHidden/>
          </w:rPr>
        </w:r>
        <w:r w:rsidRPr="001472FD">
          <w:rPr>
            <w:b w:val="0"/>
            <w:bCs/>
            <w:webHidden/>
          </w:rPr>
          <w:fldChar w:fldCharType="separate"/>
        </w:r>
        <w:r w:rsidR="00AA0D6A">
          <w:rPr>
            <w:b w:val="0"/>
            <w:bCs/>
            <w:webHidden/>
          </w:rPr>
          <w:t>32</w:t>
        </w:r>
        <w:r w:rsidRPr="001472FD">
          <w:rPr>
            <w:b w:val="0"/>
            <w:bCs/>
            <w:webHidden/>
          </w:rPr>
          <w:fldChar w:fldCharType="end"/>
        </w:r>
      </w:hyperlink>
    </w:p>
    <w:p w14:paraId="6097BD2D" w14:textId="1E6C2D4B" w:rsidR="001472FD" w:rsidRDefault="001472FD" w:rsidP="0019309F">
      <w:pPr>
        <w:pStyle w:val="TOC2"/>
        <w:rPr>
          <w:rFonts w:asciiTheme="minorHAnsi" w:eastAsiaTheme="minorEastAsia" w:hAnsiTheme="minorHAnsi" w:cstheme="minorBidi"/>
          <w:b w:val="0"/>
          <w:color w:val="auto"/>
          <w:kern w:val="2"/>
          <w:lang w:eastAsia="en-AU"/>
          <w14:ligatures w14:val="standardContextual"/>
        </w:rPr>
      </w:pPr>
      <w:hyperlink w:anchor="_Toc219884928" w:history="1">
        <w:r w:rsidRPr="001472FD">
          <w:rPr>
            <w:rStyle w:val="Hyperlink"/>
            <w:b w:val="0"/>
            <w:bCs/>
          </w:rPr>
          <w:t>5.5.</w:t>
        </w:r>
        <w:r w:rsidRPr="001472FD">
          <w:rPr>
            <w:rFonts w:asciiTheme="minorHAnsi" w:eastAsiaTheme="minorEastAsia" w:hAnsiTheme="minorHAnsi" w:cstheme="minorBidi"/>
            <w:b w:val="0"/>
            <w:bCs/>
            <w:color w:val="auto"/>
            <w:kern w:val="2"/>
            <w:lang w:eastAsia="en-AU"/>
            <w14:ligatures w14:val="standardContextual"/>
          </w:rPr>
          <w:tab/>
        </w:r>
        <w:r w:rsidRPr="001472FD">
          <w:rPr>
            <w:rStyle w:val="Hyperlink"/>
            <w:b w:val="0"/>
            <w:bCs/>
          </w:rPr>
          <w:t>Compensation</w:t>
        </w:r>
        <w:r w:rsidRPr="001472FD">
          <w:rPr>
            <w:b w:val="0"/>
            <w:bCs/>
            <w:webHidden/>
          </w:rPr>
          <w:tab/>
        </w:r>
        <w:r w:rsidRPr="001472FD">
          <w:rPr>
            <w:b w:val="0"/>
            <w:bCs/>
            <w:webHidden/>
          </w:rPr>
          <w:fldChar w:fldCharType="begin"/>
        </w:r>
        <w:r w:rsidRPr="001472FD">
          <w:rPr>
            <w:b w:val="0"/>
            <w:bCs/>
            <w:webHidden/>
          </w:rPr>
          <w:instrText xml:space="preserve"> PAGEREF _Toc219884928 \h </w:instrText>
        </w:r>
        <w:r w:rsidRPr="001472FD">
          <w:rPr>
            <w:b w:val="0"/>
            <w:bCs/>
            <w:webHidden/>
          </w:rPr>
        </w:r>
        <w:r w:rsidRPr="001472FD">
          <w:rPr>
            <w:b w:val="0"/>
            <w:bCs/>
            <w:webHidden/>
          </w:rPr>
          <w:fldChar w:fldCharType="separate"/>
        </w:r>
        <w:r w:rsidR="00AA0D6A">
          <w:rPr>
            <w:b w:val="0"/>
            <w:bCs/>
            <w:webHidden/>
          </w:rPr>
          <w:t>33</w:t>
        </w:r>
        <w:r w:rsidRPr="001472FD">
          <w:rPr>
            <w:b w:val="0"/>
            <w:bCs/>
            <w:webHidden/>
          </w:rPr>
          <w:fldChar w:fldCharType="end"/>
        </w:r>
      </w:hyperlink>
    </w:p>
    <w:p w14:paraId="0F7AA2DA" w14:textId="55CAF70C" w:rsidR="001472FD" w:rsidRDefault="001472FD" w:rsidP="0019309F">
      <w:pPr>
        <w:pStyle w:val="TOC1"/>
        <w:rPr>
          <w:rFonts w:asciiTheme="minorHAnsi" w:eastAsiaTheme="minorEastAsia" w:hAnsiTheme="minorHAnsi" w:cstheme="minorBidi"/>
          <w:b w:val="0"/>
          <w:noProof/>
          <w:color w:val="auto"/>
          <w:kern w:val="2"/>
          <w:sz w:val="24"/>
          <w:lang w:eastAsia="en-AU"/>
          <w14:ligatures w14:val="standardContextual"/>
        </w:rPr>
      </w:pPr>
      <w:hyperlink w:anchor="_Toc219884932" w:history="1">
        <w:r w:rsidRPr="00EA7DB7">
          <w:rPr>
            <w:rStyle w:val="Hyperlink"/>
            <w:noProof/>
          </w:rPr>
          <w:t>6.</w:t>
        </w:r>
        <w:r>
          <w:rPr>
            <w:rFonts w:asciiTheme="minorHAnsi" w:eastAsiaTheme="minorEastAsia" w:hAnsiTheme="minorHAnsi" w:cstheme="minorBidi"/>
            <w:b w:val="0"/>
            <w:noProof/>
            <w:color w:val="auto"/>
            <w:kern w:val="2"/>
            <w:sz w:val="24"/>
            <w:lang w:eastAsia="en-AU"/>
            <w14:ligatures w14:val="standardContextual"/>
          </w:rPr>
          <w:tab/>
        </w:r>
        <w:r w:rsidRPr="00EA7DB7">
          <w:rPr>
            <w:rStyle w:val="Hyperlink"/>
            <w:noProof/>
          </w:rPr>
          <w:t>Other matters</w:t>
        </w:r>
        <w:r>
          <w:rPr>
            <w:noProof/>
            <w:webHidden/>
          </w:rPr>
          <w:tab/>
        </w:r>
        <w:r>
          <w:rPr>
            <w:noProof/>
            <w:webHidden/>
          </w:rPr>
          <w:fldChar w:fldCharType="begin"/>
        </w:r>
        <w:r>
          <w:rPr>
            <w:noProof/>
            <w:webHidden/>
          </w:rPr>
          <w:instrText xml:space="preserve"> PAGEREF _Toc219884932 \h </w:instrText>
        </w:r>
        <w:r>
          <w:rPr>
            <w:noProof/>
            <w:webHidden/>
          </w:rPr>
        </w:r>
        <w:r>
          <w:rPr>
            <w:noProof/>
            <w:webHidden/>
          </w:rPr>
          <w:fldChar w:fldCharType="separate"/>
        </w:r>
        <w:r w:rsidR="00AA0D6A">
          <w:rPr>
            <w:noProof/>
            <w:webHidden/>
          </w:rPr>
          <w:t>36</w:t>
        </w:r>
        <w:r>
          <w:rPr>
            <w:noProof/>
            <w:webHidden/>
          </w:rPr>
          <w:fldChar w:fldCharType="end"/>
        </w:r>
      </w:hyperlink>
    </w:p>
    <w:p w14:paraId="6EC631ED" w14:textId="1BD85B26" w:rsidR="001472FD" w:rsidRPr="001472FD" w:rsidRDefault="001472FD" w:rsidP="0019309F">
      <w:pPr>
        <w:pStyle w:val="TOC2"/>
        <w:rPr>
          <w:rFonts w:asciiTheme="minorHAnsi" w:eastAsiaTheme="minorEastAsia" w:hAnsiTheme="minorHAnsi" w:cstheme="minorBidi"/>
          <w:b w:val="0"/>
          <w:bCs/>
          <w:color w:val="auto"/>
          <w:kern w:val="2"/>
          <w:lang w:eastAsia="en-AU"/>
          <w14:ligatures w14:val="standardContextual"/>
        </w:rPr>
      </w:pPr>
      <w:hyperlink w:anchor="_Toc219884933" w:history="1">
        <w:r w:rsidRPr="001472FD">
          <w:rPr>
            <w:rStyle w:val="Hyperlink"/>
            <w:b w:val="0"/>
            <w:bCs/>
          </w:rPr>
          <w:t>6.1.</w:t>
        </w:r>
        <w:r w:rsidRPr="001472FD">
          <w:rPr>
            <w:rFonts w:asciiTheme="minorHAnsi" w:eastAsiaTheme="minorEastAsia" w:hAnsiTheme="minorHAnsi" w:cstheme="minorBidi"/>
            <w:b w:val="0"/>
            <w:bCs/>
            <w:color w:val="auto"/>
            <w:kern w:val="2"/>
            <w:lang w:eastAsia="en-AU"/>
            <w14:ligatures w14:val="standardContextual"/>
          </w:rPr>
          <w:tab/>
        </w:r>
        <w:r w:rsidRPr="001472FD">
          <w:rPr>
            <w:rStyle w:val="Hyperlink"/>
            <w:b w:val="0"/>
            <w:bCs/>
          </w:rPr>
          <w:t xml:space="preserve">Register of </w:t>
        </w:r>
        <w:r w:rsidR="00112900">
          <w:rPr>
            <w:rStyle w:val="Hyperlink"/>
            <w:b w:val="0"/>
            <w:bCs/>
          </w:rPr>
          <w:t>r</w:t>
        </w:r>
        <w:r w:rsidRPr="001472FD">
          <w:rPr>
            <w:rStyle w:val="Hyperlink"/>
            <w:b w:val="0"/>
            <w:bCs/>
          </w:rPr>
          <w:t xml:space="preserve">esidential </w:t>
        </w:r>
        <w:r w:rsidR="00112900">
          <w:rPr>
            <w:rStyle w:val="Hyperlink"/>
            <w:b w:val="0"/>
            <w:bCs/>
          </w:rPr>
          <w:t>p</w:t>
        </w:r>
        <w:r w:rsidRPr="001472FD">
          <w:rPr>
            <w:rStyle w:val="Hyperlink"/>
            <w:b w:val="0"/>
            <w:bCs/>
          </w:rPr>
          <w:t>arks</w:t>
        </w:r>
        <w:r w:rsidRPr="001472FD">
          <w:rPr>
            <w:b w:val="0"/>
            <w:bCs/>
            <w:webHidden/>
          </w:rPr>
          <w:tab/>
        </w:r>
        <w:r w:rsidRPr="001472FD">
          <w:rPr>
            <w:b w:val="0"/>
            <w:bCs/>
            <w:webHidden/>
          </w:rPr>
          <w:fldChar w:fldCharType="begin"/>
        </w:r>
        <w:r w:rsidRPr="001472FD">
          <w:rPr>
            <w:b w:val="0"/>
            <w:bCs/>
            <w:webHidden/>
          </w:rPr>
          <w:instrText xml:space="preserve"> PAGEREF _Toc219884933 \h </w:instrText>
        </w:r>
        <w:r w:rsidRPr="001472FD">
          <w:rPr>
            <w:b w:val="0"/>
            <w:bCs/>
            <w:webHidden/>
          </w:rPr>
        </w:r>
        <w:r w:rsidRPr="001472FD">
          <w:rPr>
            <w:b w:val="0"/>
            <w:bCs/>
            <w:webHidden/>
          </w:rPr>
          <w:fldChar w:fldCharType="separate"/>
        </w:r>
        <w:r w:rsidR="00AA0D6A">
          <w:rPr>
            <w:b w:val="0"/>
            <w:bCs/>
            <w:webHidden/>
          </w:rPr>
          <w:t>36</w:t>
        </w:r>
        <w:r w:rsidRPr="001472FD">
          <w:rPr>
            <w:b w:val="0"/>
            <w:bCs/>
            <w:webHidden/>
          </w:rPr>
          <w:fldChar w:fldCharType="end"/>
        </w:r>
      </w:hyperlink>
    </w:p>
    <w:p w14:paraId="44763BCC" w14:textId="28DE3F50" w:rsidR="001472FD" w:rsidRDefault="001472FD" w:rsidP="0019309F">
      <w:pPr>
        <w:pStyle w:val="TOC2"/>
        <w:rPr>
          <w:rFonts w:asciiTheme="minorHAnsi" w:eastAsiaTheme="minorEastAsia" w:hAnsiTheme="minorHAnsi" w:cstheme="minorBidi"/>
          <w:b w:val="0"/>
          <w:color w:val="auto"/>
          <w:kern w:val="2"/>
          <w:lang w:eastAsia="en-AU"/>
          <w14:ligatures w14:val="standardContextual"/>
        </w:rPr>
      </w:pPr>
      <w:hyperlink w:anchor="_Toc219884934" w:history="1">
        <w:r w:rsidRPr="001472FD">
          <w:rPr>
            <w:rStyle w:val="Hyperlink"/>
            <w:b w:val="0"/>
            <w:bCs/>
          </w:rPr>
          <w:t>6.2.</w:t>
        </w:r>
        <w:r w:rsidRPr="001472FD">
          <w:rPr>
            <w:rFonts w:asciiTheme="minorHAnsi" w:eastAsiaTheme="minorEastAsia" w:hAnsiTheme="minorHAnsi" w:cstheme="minorBidi"/>
            <w:b w:val="0"/>
            <w:bCs/>
            <w:color w:val="auto"/>
            <w:kern w:val="2"/>
            <w:lang w:eastAsia="en-AU"/>
            <w14:ligatures w14:val="standardContextual"/>
          </w:rPr>
          <w:tab/>
        </w:r>
        <w:r w:rsidRPr="001472FD">
          <w:rPr>
            <w:rStyle w:val="Hyperlink"/>
            <w:b w:val="0"/>
            <w:bCs/>
          </w:rPr>
          <w:t>Changes to other WA tenancy laws</w:t>
        </w:r>
        <w:r w:rsidRPr="001472FD">
          <w:rPr>
            <w:b w:val="0"/>
            <w:bCs/>
            <w:webHidden/>
          </w:rPr>
          <w:tab/>
        </w:r>
        <w:r w:rsidRPr="001472FD">
          <w:rPr>
            <w:b w:val="0"/>
            <w:bCs/>
            <w:webHidden/>
          </w:rPr>
          <w:fldChar w:fldCharType="begin"/>
        </w:r>
        <w:r w:rsidRPr="001472FD">
          <w:rPr>
            <w:b w:val="0"/>
            <w:bCs/>
            <w:webHidden/>
          </w:rPr>
          <w:instrText xml:space="preserve"> PAGEREF _Toc219884934 \h </w:instrText>
        </w:r>
        <w:r w:rsidRPr="001472FD">
          <w:rPr>
            <w:b w:val="0"/>
            <w:bCs/>
            <w:webHidden/>
          </w:rPr>
        </w:r>
        <w:r w:rsidRPr="001472FD">
          <w:rPr>
            <w:b w:val="0"/>
            <w:bCs/>
            <w:webHidden/>
          </w:rPr>
          <w:fldChar w:fldCharType="separate"/>
        </w:r>
        <w:r w:rsidR="00AA0D6A">
          <w:rPr>
            <w:b w:val="0"/>
            <w:bCs/>
            <w:webHidden/>
          </w:rPr>
          <w:t>37</w:t>
        </w:r>
        <w:r w:rsidRPr="001472FD">
          <w:rPr>
            <w:b w:val="0"/>
            <w:bCs/>
            <w:webHidden/>
          </w:rPr>
          <w:fldChar w:fldCharType="end"/>
        </w:r>
      </w:hyperlink>
    </w:p>
    <w:p w14:paraId="794284B5" w14:textId="4C7201D1" w:rsidR="001472FD" w:rsidRDefault="001472FD" w:rsidP="0019309F">
      <w:pPr>
        <w:pStyle w:val="TOC1"/>
        <w:rPr>
          <w:rFonts w:asciiTheme="minorHAnsi" w:eastAsiaTheme="minorEastAsia" w:hAnsiTheme="minorHAnsi" w:cstheme="minorBidi"/>
          <w:b w:val="0"/>
          <w:noProof/>
          <w:color w:val="auto"/>
          <w:kern w:val="2"/>
          <w:sz w:val="24"/>
          <w:lang w:eastAsia="en-AU"/>
          <w14:ligatures w14:val="standardContextual"/>
        </w:rPr>
      </w:pPr>
      <w:hyperlink w:anchor="_Toc219884936" w:history="1">
        <w:r w:rsidRPr="00EA7DB7">
          <w:rPr>
            <w:rStyle w:val="Hyperlink"/>
            <w:noProof/>
          </w:rPr>
          <w:t>Appendix A</w:t>
        </w:r>
        <w:r>
          <w:rPr>
            <w:noProof/>
            <w:webHidden/>
          </w:rPr>
          <w:tab/>
        </w:r>
        <w:r>
          <w:rPr>
            <w:noProof/>
            <w:webHidden/>
          </w:rPr>
          <w:fldChar w:fldCharType="begin"/>
        </w:r>
        <w:r>
          <w:rPr>
            <w:noProof/>
            <w:webHidden/>
          </w:rPr>
          <w:instrText xml:space="preserve"> PAGEREF _Toc219884936 \h </w:instrText>
        </w:r>
        <w:r>
          <w:rPr>
            <w:noProof/>
            <w:webHidden/>
          </w:rPr>
        </w:r>
        <w:r>
          <w:rPr>
            <w:noProof/>
            <w:webHidden/>
          </w:rPr>
          <w:fldChar w:fldCharType="separate"/>
        </w:r>
        <w:r w:rsidR="00AA0D6A">
          <w:rPr>
            <w:noProof/>
            <w:webHidden/>
          </w:rPr>
          <w:t>38</w:t>
        </w:r>
        <w:r>
          <w:rPr>
            <w:noProof/>
            <w:webHidden/>
          </w:rPr>
          <w:fldChar w:fldCharType="end"/>
        </w:r>
      </w:hyperlink>
    </w:p>
    <w:p w14:paraId="097372F9" w14:textId="07EA0FEA" w:rsidR="00C13A96" w:rsidRDefault="00C13A96" w:rsidP="0019309F">
      <w:pPr>
        <w:pStyle w:val="BodyText"/>
        <w:jc w:val="left"/>
      </w:pPr>
      <w:r w:rsidRPr="00240EE5">
        <w:fldChar w:fldCharType="end"/>
      </w:r>
    </w:p>
    <w:p w14:paraId="7769BB54" w14:textId="77777777" w:rsidR="00590F18" w:rsidRPr="00590F18" w:rsidRDefault="00590F18" w:rsidP="0019309F">
      <w:pPr>
        <w:rPr>
          <w:lang w:val="en-GB"/>
        </w:rPr>
      </w:pPr>
    </w:p>
    <w:p w14:paraId="170127A0" w14:textId="77777777" w:rsidR="00590F18" w:rsidRPr="00590F18" w:rsidRDefault="00590F18" w:rsidP="0019309F">
      <w:pPr>
        <w:rPr>
          <w:lang w:val="en-GB"/>
        </w:rPr>
      </w:pPr>
    </w:p>
    <w:p w14:paraId="6F1BD7FB" w14:textId="77777777" w:rsidR="00590F18" w:rsidRDefault="00590F18" w:rsidP="0019309F">
      <w:pPr>
        <w:rPr>
          <w:rFonts w:cs="Arial"/>
          <w:lang w:val="en-GB"/>
        </w:rPr>
      </w:pPr>
    </w:p>
    <w:p w14:paraId="31D3F19D" w14:textId="77777777" w:rsidR="00590F18" w:rsidRPr="00590F18" w:rsidRDefault="00590F18" w:rsidP="0019309F">
      <w:pPr>
        <w:rPr>
          <w:lang w:val="en-GB"/>
        </w:rPr>
      </w:pPr>
    </w:p>
    <w:p w14:paraId="5DBE14F5" w14:textId="584EC03F" w:rsidR="00590F18" w:rsidRDefault="00590F18" w:rsidP="0019309F">
      <w:pPr>
        <w:tabs>
          <w:tab w:val="left" w:pos="8205"/>
        </w:tabs>
        <w:rPr>
          <w:rFonts w:cs="Arial"/>
          <w:lang w:val="en-GB"/>
        </w:rPr>
      </w:pPr>
    </w:p>
    <w:p w14:paraId="57B73529" w14:textId="77777777" w:rsidR="00590F18" w:rsidRDefault="00590F18" w:rsidP="0019309F">
      <w:pPr>
        <w:rPr>
          <w:rFonts w:cs="Arial"/>
          <w:lang w:val="en-GB"/>
        </w:rPr>
      </w:pPr>
    </w:p>
    <w:p w14:paraId="1A4ED67C" w14:textId="3A3F8691" w:rsidR="00590F18" w:rsidRPr="00590F18" w:rsidRDefault="00590F18" w:rsidP="0019309F">
      <w:pPr>
        <w:rPr>
          <w:lang w:val="en-GB"/>
        </w:rPr>
        <w:sectPr w:rsidR="00590F18" w:rsidRPr="00590F18" w:rsidSect="00CA1AFB">
          <w:footerReference w:type="default" r:id="rId11"/>
          <w:pgSz w:w="11900" w:h="16840" w:code="9"/>
          <w:pgMar w:top="1926" w:right="1134" w:bottom="1134" w:left="1134" w:header="567" w:footer="141" w:gutter="0"/>
          <w:pgNumType w:fmt="lowerRoman" w:start="1"/>
          <w:cols w:space="567"/>
          <w:docGrid w:linePitch="326"/>
        </w:sectPr>
      </w:pPr>
    </w:p>
    <w:p w14:paraId="5D870027" w14:textId="7401F603" w:rsidR="00C13A96" w:rsidRDefault="006A7C81" w:rsidP="0019309F">
      <w:pPr>
        <w:pStyle w:val="Heading1"/>
        <w:numPr>
          <w:ilvl w:val="0"/>
          <w:numId w:val="11"/>
        </w:numPr>
      </w:pPr>
      <w:bookmarkStart w:id="1" w:name="_Toc219884850"/>
      <w:r>
        <w:lastRenderedPageBreak/>
        <w:t>B</w:t>
      </w:r>
      <w:r w:rsidR="00F3437E">
        <w:t>ackground</w:t>
      </w:r>
      <w:bookmarkEnd w:id="1"/>
    </w:p>
    <w:p w14:paraId="60910591" w14:textId="58AE8ECC" w:rsidR="00102333" w:rsidRDefault="00102333" w:rsidP="0019309F">
      <w:pPr>
        <w:pStyle w:val="Heading2"/>
        <w:jc w:val="left"/>
      </w:pPr>
      <w:bookmarkStart w:id="2" w:name="_Toc219884851"/>
      <w:r w:rsidRPr="0066346E">
        <w:t>Introduction</w:t>
      </w:r>
      <w:bookmarkEnd w:id="2"/>
    </w:p>
    <w:p w14:paraId="25D4FAFD" w14:textId="3CC36827" w:rsidR="00F3437E" w:rsidRDefault="000C4A1D" w:rsidP="0019309F">
      <w:pPr>
        <w:pStyle w:val="BodyText"/>
        <w:jc w:val="left"/>
      </w:pPr>
      <w:r>
        <w:t>Residential p</w:t>
      </w:r>
      <w:r w:rsidR="00F3437E">
        <w:t xml:space="preserve">arks are located across Western Australia </w:t>
      </w:r>
      <w:r w:rsidR="004F73C0">
        <w:t xml:space="preserve">(WA) </w:t>
      </w:r>
      <w:r w:rsidR="00F3437E">
        <w:t xml:space="preserve">and provide an alternative to </w:t>
      </w:r>
      <w:r>
        <w:t xml:space="preserve">traditional land ownership </w:t>
      </w:r>
      <w:r w:rsidR="00F3437E">
        <w:t>or</w:t>
      </w:r>
      <w:r w:rsidR="00C47EB6">
        <w:t xml:space="preserve"> </w:t>
      </w:r>
      <w:r w:rsidR="00F3437E">
        <w:t>rental accommodation.</w:t>
      </w:r>
    </w:p>
    <w:p w14:paraId="76AD82CA" w14:textId="2FDB2F05" w:rsidR="00F3437E" w:rsidRDefault="00F3437E" w:rsidP="0019309F">
      <w:pPr>
        <w:pStyle w:val="BodyText"/>
        <w:jc w:val="left"/>
      </w:pPr>
      <w:r>
        <w:t xml:space="preserve">The </w:t>
      </w:r>
      <w:r w:rsidRPr="00873EFA">
        <w:rPr>
          <w:i/>
          <w:iCs/>
        </w:rPr>
        <w:t>Residential Parks (Long-stay Tenants) Act 2006</w:t>
      </w:r>
      <w:r>
        <w:t xml:space="preserve"> (</w:t>
      </w:r>
      <w:r w:rsidR="000E390E">
        <w:t>the Act</w:t>
      </w:r>
      <w:r>
        <w:t xml:space="preserve">) regulates </w:t>
      </w:r>
      <w:r w:rsidR="00C47EB6">
        <w:t xml:space="preserve">the tenancy arrangements </w:t>
      </w:r>
      <w:r>
        <w:t>between long-stay tenants and park operators.</w:t>
      </w:r>
      <w:r w:rsidR="001F6934">
        <w:t xml:space="preserve"> </w:t>
      </w:r>
    </w:p>
    <w:p w14:paraId="7054C49E" w14:textId="4484AF9E" w:rsidR="00C47EB6" w:rsidRDefault="00F3437E" w:rsidP="0019309F">
      <w:pPr>
        <w:pStyle w:val="BodyText"/>
        <w:jc w:val="left"/>
      </w:pPr>
      <w:r>
        <w:t>The Department of Local Government, Industry Regulation and Safety</w:t>
      </w:r>
      <w:r w:rsidR="001F6934">
        <w:t xml:space="preserve"> (LGIRS) </w:t>
      </w:r>
      <w:r>
        <w:t xml:space="preserve">is responsible for administering the </w:t>
      </w:r>
      <w:r w:rsidR="000E390E">
        <w:t>Act</w:t>
      </w:r>
      <w:r>
        <w:t xml:space="preserve"> and ensuring the legislation remains fit for purpose. </w:t>
      </w:r>
    </w:p>
    <w:p w14:paraId="2A573A5D" w14:textId="3936DAB3" w:rsidR="00F3437E" w:rsidRDefault="00C47EB6" w:rsidP="0019309F">
      <w:pPr>
        <w:pStyle w:val="BodyText"/>
        <w:jc w:val="left"/>
      </w:pPr>
      <w:bookmarkStart w:id="3" w:name="_Toc501711838"/>
      <w:r>
        <w:t xml:space="preserve">A review </w:t>
      </w:r>
      <w:r w:rsidR="000C4A1D">
        <w:t xml:space="preserve">of the Act </w:t>
      </w:r>
      <w:r>
        <w:t>is required to assess its</w:t>
      </w:r>
      <w:r w:rsidR="00F3437E">
        <w:t xml:space="preserve"> operation and effectiveness.</w:t>
      </w:r>
      <w:r>
        <w:t xml:space="preserve"> T</w:t>
      </w:r>
      <w:r w:rsidR="00F3437E">
        <w:t>he Minister for Commerce must table a report on th</w:t>
      </w:r>
      <w:r w:rsidR="001F6934">
        <w:t>is</w:t>
      </w:r>
      <w:r w:rsidR="00F3437E">
        <w:t xml:space="preserve"> review in both </w:t>
      </w:r>
      <w:r w:rsidR="00FA74B8">
        <w:t>h</w:t>
      </w:r>
      <w:r w:rsidR="00F3437E">
        <w:t>ouses of Parliament not later than 10 July 2026.</w:t>
      </w:r>
      <w:r w:rsidR="008C5181">
        <w:rPr>
          <w:rStyle w:val="FootnoteReference"/>
        </w:rPr>
        <w:footnoteReference w:id="1"/>
      </w:r>
    </w:p>
    <w:p w14:paraId="53427161" w14:textId="2C73D8F8" w:rsidR="00C13A96" w:rsidRPr="00085A49" w:rsidRDefault="00102333" w:rsidP="0019309F">
      <w:pPr>
        <w:pStyle w:val="Heading2"/>
        <w:jc w:val="left"/>
      </w:pPr>
      <w:bookmarkStart w:id="4" w:name="_Toc219884852"/>
      <w:bookmarkEnd w:id="3"/>
      <w:r>
        <w:t xml:space="preserve">Residential </w:t>
      </w:r>
      <w:r w:rsidR="00AC5E62">
        <w:t>p</w:t>
      </w:r>
      <w:r>
        <w:t>arks</w:t>
      </w:r>
      <w:bookmarkEnd w:id="4"/>
    </w:p>
    <w:p w14:paraId="0C2D8F29" w14:textId="1E736A71" w:rsidR="00C34A3B" w:rsidRPr="00C26B9A" w:rsidRDefault="00C34A3B" w:rsidP="0019309F">
      <w:pPr>
        <w:pStyle w:val="BodyText"/>
        <w:jc w:val="left"/>
      </w:pPr>
      <w:bookmarkStart w:id="5" w:name="_Toc501711839"/>
      <w:r w:rsidRPr="00C26B9A">
        <w:t xml:space="preserve">A residential park is </w:t>
      </w:r>
      <w:r w:rsidR="00C47EB6" w:rsidRPr="00C26B9A">
        <w:t>a facility</w:t>
      </w:r>
      <w:r w:rsidRPr="00C26B9A">
        <w:t xml:space="preserve"> where a person (a long-stay tenant) lives in a relocatable home as their primary residence</w:t>
      </w:r>
      <w:r w:rsidR="00C47EB6" w:rsidRPr="00C26B9A">
        <w:t xml:space="preserve"> under a tenancy arrangement known as a long-stay agreement. </w:t>
      </w:r>
      <w:r w:rsidR="008620FF" w:rsidRPr="00C26B9A">
        <w:t>Some residential parks provide both long-stay and tourist accommodation (for example</w:t>
      </w:r>
      <w:r w:rsidR="00C0056F" w:rsidRPr="00C26B9A">
        <w:t>,</w:t>
      </w:r>
      <w:r w:rsidR="008620FF" w:rsidRPr="00C26B9A">
        <w:t xml:space="preserve"> mixed-use caravan park</w:t>
      </w:r>
      <w:r w:rsidR="00C0056F" w:rsidRPr="00C26B9A">
        <w:t>s</w:t>
      </w:r>
      <w:r w:rsidR="008620FF" w:rsidRPr="00C26B9A">
        <w:t>)</w:t>
      </w:r>
      <w:r w:rsidR="00C0056F" w:rsidRPr="00C26B9A">
        <w:t xml:space="preserve"> and</w:t>
      </w:r>
      <w:r w:rsidR="008620FF" w:rsidRPr="00C26B9A">
        <w:t xml:space="preserve"> other parks provide long-stay tenancies only. </w:t>
      </w:r>
    </w:p>
    <w:p w14:paraId="4AD9C1EE" w14:textId="0EE6757C" w:rsidR="00C34A3B" w:rsidRPr="00C26B9A" w:rsidRDefault="00C34A3B" w:rsidP="0019309F">
      <w:pPr>
        <w:pStyle w:val="BodyText"/>
        <w:jc w:val="left"/>
      </w:pPr>
      <w:r w:rsidRPr="00C26B9A">
        <w:t>The common features of a long-stay agreement are:</w:t>
      </w:r>
    </w:p>
    <w:p w14:paraId="1EF19D7B" w14:textId="34EA3ECC" w:rsidR="00C34A3B" w:rsidRPr="00C26B9A" w:rsidRDefault="00C34A3B" w:rsidP="0019309F">
      <w:pPr>
        <w:pStyle w:val="Bullet1"/>
        <w:jc w:val="left"/>
      </w:pPr>
      <w:r w:rsidRPr="00C26B9A">
        <w:t>a long-stay tenant leases a</w:t>
      </w:r>
      <w:r w:rsidR="00C47EB6" w:rsidRPr="00C26B9A">
        <w:t xml:space="preserve"> </w:t>
      </w:r>
      <w:r w:rsidRPr="00C26B9A">
        <w:t xml:space="preserve">site </w:t>
      </w:r>
      <w:r w:rsidR="00C47EB6" w:rsidRPr="00C26B9A">
        <w:t>from the park operator;</w:t>
      </w:r>
    </w:p>
    <w:p w14:paraId="6C6E3745" w14:textId="1977DD45" w:rsidR="00C47EB6" w:rsidRPr="00C26B9A" w:rsidRDefault="00C34A3B" w:rsidP="0019309F">
      <w:pPr>
        <w:pStyle w:val="Bullet1"/>
        <w:jc w:val="left"/>
      </w:pPr>
      <w:r w:rsidRPr="00C26B9A">
        <w:t xml:space="preserve">the tenant resides in a relocatable home </w:t>
      </w:r>
      <w:r w:rsidR="00C0056F" w:rsidRPr="00C26B9A">
        <w:t>and</w:t>
      </w:r>
      <w:r w:rsidR="00C47EB6" w:rsidRPr="00C26B9A">
        <w:t xml:space="preserve"> the home</w:t>
      </w:r>
      <w:r w:rsidR="00590F0E" w:rsidRPr="00C26B9A">
        <w:t xml:space="preserve"> itself</w:t>
      </w:r>
      <w:r w:rsidR="00C47EB6" w:rsidRPr="00C26B9A">
        <w:t xml:space="preserve"> is either:</w:t>
      </w:r>
    </w:p>
    <w:p w14:paraId="291EBBC9" w14:textId="26706CA5" w:rsidR="00C47EB6" w:rsidRPr="00C26B9A" w:rsidRDefault="00C47EB6" w:rsidP="0019309F">
      <w:pPr>
        <w:pStyle w:val="Bullet1"/>
        <w:numPr>
          <w:ilvl w:val="1"/>
          <w:numId w:val="1"/>
        </w:numPr>
        <w:jc w:val="left"/>
      </w:pPr>
      <w:r w:rsidRPr="00C26B9A">
        <w:t xml:space="preserve">owned by the tenant </w:t>
      </w:r>
      <w:r w:rsidR="00C0056F" w:rsidRPr="00C26B9A">
        <w:t xml:space="preserve">(a </w:t>
      </w:r>
      <w:r w:rsidRPr="00C26B9A">
        <w:t>site only agreement</w:t>
      </w:r>
      <w:r w:rsidR="00C0056F" w:rsidRPr="00C26B9A">
        <w:t xml:space="preserve"> is made between the tenant and operator)</w:t>
      </w:r>
      <w:r w:rsidRPr="00C26B9A">
        <w:t>; or</w:t>
      </w:r>
    </w:p>
    <w:p w14:paraId="36333F3E" w14:textId="37C65D80" w:rsidR="00C34A3B" w:rsidRPr="00C26B9A" w:rsidRDefault="00C34A3B" w:rsidP="0019309F">
      <w:pPr>
        <w:pStyle w:val="Bullet1"/>
        <w:numPr>
          <w:ilvl w:val="1"/>
          <w:numId w:val="1"/>
        </w:numPr>
        <w:jc w:val="left"/>
      </w:pPr>
      <w:r w:rsidRPr="00C26B9A">
        <w:t>leased from the park operator</w:t>
      </w:r>
      <w:r w:rsidR="00C0056F" w:rsidRPr="00C26B9A">
        <w:t xml:space="preserve"> (an </w:t>
      </w:r>
      <w:r w:rsidR="00C47EB6" w:rsidRPr="00C26B9A">
        <w:t>on-site home agreement</w:t>
      </w:r>
      <w:r w:rsidR="00C0056F" w:rsidRPr="00C26B9A">
        <w:t xml:space="preserve"> is made between the </w:t>
      </w:r>
      <w:r w:rsidR="000C4A1D" w:rsidRPr="00C26B9A">
        <w:t>tenant and operator</w:t>
      </w:r>
      <w:r w:rsidR="00C0056F" w:rsidRPr="00C26B9A">
        <w:t>)</w:t>
      </w:r>
      <w:r w:rsidR="00C47EB6" w:rsidRPr="00C26B9A">
        <w:t>;</w:t>
      </w:r>
    </w:p>
    <w:p w14:paraId="7E219814" w14:textId="4B8D5562" w:rsidR="00C47EB6" w:rsidRPr="00C26B9A" w:rsidRDefault="00C47EB6" w:rsidP="0019309F">
      <w:pPr>
        <w:pStyle w:val="Bullet1"/>
        <w:jc w:val="left"/>
      </w:pPr>
      <w:r w:rsidRPr="00C26B9A">
        <w:t xml:space="preserve">there are shared </w:t>
      </w:r>
      <w:r w:rsidR="00590F0E" w:rsidRPr="00C26B9A">
        <w:t xml:space="preserve">facilities </w:t>
      </w:r>
      <w:r w:rsidRPr="00C26B9A">
        <w:t>for the use of long-stay tenants;</w:t>
      </w:r>
      <w:r w:rsidR="008D3914" w:rsidRPr="00C26B9A">
        <w:t xml:space="preserve"> and</w:t>
      </w:r>
    </w:p>
    <w:p w14:paraId="3722EB09" w14:textId="0AB3931D" w:rsidR="005804B6" w:rsidRPr="00C26B9A" w:rsidRDefault="00C26C40" w:rsidP="0019309F">
      <w:pPr>
        <w:pStyle w:val="Bullet1"/>
        <w:jc w:val="left"/>
      </w:pPr>
      <w:r w:rsidRPr="00C26B9A">
        <w:t xml:space="preserve">a set of standard terms </w:t>
      </w:r>
      <w:r w:rsidR="008D476E" w:rsidRPr="00C26B9A">
        <w:t>apply</w:t>
      </w:r>
      <w:r w:rsidR="008D3914" w:rsidRPr="00C26B9A">
        <w:t xml:space="preserve"> that are set out in the Act</w:t>
      </w:r>
      <w:r w:rsidR="001F6934" w:rsidRPr="00C26B9A">
        <w:t>.</w:t>
      </w:r>
    </w:p>
    <w:p w14:paraId="0CB9259F" w14:textId="21F7737B" w:rsidR="00A92DCC" w:rsidRPr="00C26B9A" w:rsidRDefault="00743685" w:rsidP="0019309F">
      <w:pPr>
        <w:pStyle w:val="BodyText"/>
        <w:jc w:val="left"/>
      </w:pPr>
      <w:r w:rsidRPr="00C26B9A">
        <w:t>Long-stay agreements can either be fixed term or periodic</w:t>
      </w:r>
      <w:r w:rsidR="00DB1257" w:rsidRPr="00C26B9A">
        <w:t xml:space="preserve"> (with no specified end date)</w:t>
      </w:r>
      <w:r w:rsidRPr="00C26B9A">
        <w:t xml:space="preserve">. </w:t>
      </w:r>
      <w:r w:rsidR="00DB1257" w:rsidRPr="00C26B9A">
        <w:t xml:space="preserve">In some cases, the term of the tenancy can be lengthy, for example, </w:t>
      </w:r>
      <w:r w:rsidR="00A92DCC" w:rsidRPr="00C26B9A">
        <w:t xml:space="preserve">a number of </w:t>
      </w:r>
      <w:r w:rsidR="00DB1257" w:rsidRPr="00C26B9A">
        <w:t>years.</w:t>
      </w:r>
    </w:p>
    <w:p w14:paraId="59E82BB4" w14:textId="2D5AB6C8" w:rsidR="005804B6" w:rsidRPr="00C26B9A" w:rsidRDefault="00590F0E" w:rsidP="0019309F">
      <w:pPr>
        <w:pStyle w:val="BodyText"/>
        <w:jc w:val="left"/>
      </w:pPr>
      <w:r w:rsidRPr="00C26B9A">
        <w:t xml:space="preserve">Where a long-stay tenant leases a site only from a park operator, this represents a unique form of tenancy. The long-stay tenant </w:t>
      </w:r>
      <w:r w:rsidR="000C4A1D" w:rsidRPr="00C26B9A">
        <w:t>owns the</w:t>
      </w:r>
      <w:r w:rsidRPr="00C26B9A">
        <w:t xml:space="preserve"> home</w:t>
      </w:r>
      <w:r w:rsidR="000C4A1D" w:rsidRPr="00C26B9A">
        <w:t xml:space="preserve">, but not the </w:t>
      </w:r>
      <w:r w:rsidRPr="00C26B9A">
        <w:t>site and may be exposed to uncertainty of tenure</w:t>
      </w:r>
      <w:r w:rsidR="001F6934" w:rsidRPr="00C26B9A">
        <w:t>,</w:t>
      </w:r>
      <w:r w:rsidRPr="00C26B9A">
        <w:t xml:space="preserve"> and high costs if the tenant must leave the park and relocate their home.</w:t>
      </w:r>
      <w:r w:rsidR="003737D3" w:rsidRPr="00C26B9A">
        <w:t xml:space="preserve"> </w:t>
      </w:r>
      <w:r w:rsidR="002F014B" w:rsidRPr="00C26B9A">
        <w:t>The purpose of the Act is</w:t>
      </w:r>
      <w:r w:rsidR="00C34A3B" w:rsidRPr="00C26B9A">
        <w:t xml:space="preserve"> to </w:t>
      </w:r>
      <w:r w:rsidRPr="00C26B9A">
        <w:t xml:space="preserve">provide </w:t>
      </w:r>
      <w:r w:rsidR="00C34A3B" w:rsidRPr="00C26B9A">
        <w:t>protections for tenants and a fair regulatory framework for long-stay agreements</w:t>
      </w:r>
      <w:r w:rsidR="002F014B" w:rsidRPr="00C26B9A">
        <w:t>, while ensuring that</w:t>
      </w:r>
      <w:r w:rsidR="00C34A3B" w:rsidRPr="00C26B9A">
        <w:t xml:space="preserve"> </w:t>
      </w:r>
      <w:r w:rsidR="001B078F" w:rsidRPr="00C26B9A">
        <w:t xml:space="preserve">residential </w:t>
      </w:r>
      <w:r w:rsidRPr="00C26B9A">
        <w:t xml:space="preserve">parks are commercially viable and can </w:t>
      </w:r>
      <w:r w:rsidR="001B078F" w:rsidRPr="00C26B9A">
        <w:t xml:space="preserve">continue to </w:t>
      </w:r>
      <w:r w:rsidRPr="00C26B9A">
        <w:t xml:space="preserve">provide homes </w:t>
      </w:r>
      <w:r w:rsidR="002F014B" w:rsidRPr="00C26B9A">
        <w:t>in these settings</w:t>
      </w:r>
      <w:r w:rsidR="001B078F" w:rsidRPr="00C26B9A">
        <w:t>.</w:t>
      </w:r>
    </w:p>
    <w:p w14:paraId="771C948F" w14:textId="51075827" w:rsidR="00C9091E" w:rsidRDefault="00DB4FD3" w:rsidP="0019309F">
      <w:pPr>
        <w:pStyle w:val="Heading2"/>
        <w:jc w:val="left"/>
      </w:pPr>
      <w:bookmarkStart w:id="6" w:name="_Toc219884853"/>
      <w:r>
        <w:lastRenderedPageBreak/>
        <w:t xml:space="preserve">Market </w:t>
      </w:r>
      <w:r w:rsidR="00AC5E62">
        <w:t>o</w:t>
      </w:r>
      <w:r>
        <w:t>verview</w:t>
      </w:r>
      <w:bookmarkStart w:id="7" w:name="_Hlk203034851"/>
      <w:bookmarkEnd w:id="6"/>
    </w:p>
    <w:p w14:paraId="1F770DCD" w14:textId="21CDC270" w:rsidR="005A43C6" w:rsidRDefault="00EA2388" w:rsidP="0019309F">
      <w:pPr>
        <w:pStyle w:val="BodyText"/>
        <w:jc w:val="left"/>
      </w:pPr>
      <w:r>
        <w:t xml:space="preserve">Census data collected by the Australian </w:t>
      </w:r>
      <w:r w:rsidR="008E5267">
        <w:t>Bureau</w:t>
      </w:r>
      <w:r>
        <w:t xml:space="preserve"> of Statistics </w:t>
      </w:r>
      <w:r w:rsidR="00630ED9">
        <w:t xml:space="preserve">(ABS) </w:t>
      </w:r>
      <w:r w:rsidR="00590F0E">
        <w:t xml:space="preserve">found that, on census night in 2021, there were </w:t>
      </w:r>
      <w:r w:rsidR="00FB7BAD">
        <w:t>up to 30,991 people</w:t>
      </w:r>
      <w:r w:rsidR="00FB7BAD" w:rsidRPr="00DC20F9">
        <w:t xml:space="preserve"> </w:t>
      </w:r>
      <w:r w:rsidR="00590F0E">
        <w:t xml:space="preserve">staying in </w:t>
      </w:r>
      <w:r w:rsidR="00FB7BAD">
        <w:t xml:space="preserve">16,772 dwellings in </w:t>
      </w:r>
      <w:r w:rsidR="00630ED9">
        <w:t>caravan parks</w:t>
      </w:r>
      <w:r w:rsidR="00FB7BAD">
        <w:t xml:space="preserve"> in </w:t>
      </w:r>
      <w:r w:rsidR="004F73C0">
        <w:t>WA</w:t>
      </w:r>
      <w:r w:rsidR="00090E46">
        <w:t>.</w:t>
      </w:r>
      <w:r w:rsidR="00F5754F">
        <w:rPr>
          <w:rStyle w:val="FootnoteReference"/>
        </w:rPr>
        <w:footnoteReference w:id="2"/>
      </w:r>
      <w:r w:rsidR="00FB7BAD">
        <w:t xml:space="preserve"> </w:t>
      </w:r>
      <w:r w:rsidR="005A43C6">
        <w:t>This include</w:t>
      </w:r>
      <w:r w:rsidR="00590F0E">
        <w:t>d</w:t>
      </w:r>
      <w:r w:rsidR="005A43C6">
        <w:t xml:space="preserve"> long-stay tenants and persons staying in a park on a short-term basis on census night, such as holidaymakers.</w:t>
      </w:r>
      <w:r w:rsidR="00630ED9">
        <w:t xml:space="preserve"> The number of </w:t>
      </w:r>
      <w:r w:rsidR="0066346E">
        <w:t xml:space="preserve">people living </w:t>
      </w:r>
      <w:r w:rsidR="00A92DCC">
        <w:t xml:space="preserve">specifically </w:t>
      </w:r>
      <w:r w:rsidR="0066346E">
        <w:t xml:space="preserve">in </w:t>
      </w:r>
      <w:r w:rsidR="00630ED9">
        <w:t xml:space="preserve">residential parks in WA </w:t>
      </w:r>
      <w:r w:rsidR="00A92DCC">
        <w:t>was not recorded in the ABS data.</w:t>
      </w:r>
    </w:p>
    <w:p w14:paraId="6556DCE4" w14:textId="37CF7797" w:rsidR="00FB7BAD" w:rsidRPr="008C41E4" w:rsidRDefault="00FB7BAD" w:rsidP="0019309F">
      <w:pPr>
        <w:pStyle w:val="BodyText"/>
        <w:jc w:val="left"/>
      </w:pPr>
      <w:r w:rsidRPr="008C41E4">
        <w:t xml:space="preserve">The characteristics of </w:t>
      </w:r>
      <w:r>
        <w:t>persons living in residential parks</w:t>
      </w:r>
      <w:r w:rsidRPr="008C41E4">
        <w:t xml:space="preserve"> </w:t>
      </w:r>
      <w:r>
        <w:t xml:space="preserve">extracted from the 2021 Census data </w:t>
      </w:r>
      <w:r w:rsidRPr="008C41E4">
        <w:t>i</w:t>
      </w:r>
      <w:r>
        <w:t>ndicate</w:t>
      </w:r>
      <w:r w:rsidR="00A10253">
        <w:t xml:space="preserve"> </w:t>
      </w:r>
      <w:r w:rsidR="00590F0E">
        <w:t xml:space="preserve">that </w:t>
      </w:r>
      <w:r w:rsidR="00A10253">
        <w:t>tenants are typically older and likely to have lower income than the average Western Australian household</w:t>
      </w:r>
      <w:r w:rsidRPr="008C41E4">
        <w:t>:</w:t>
      </w:r>
    </w:p>
    <w:p w14:paraId="506502CD" w14:textId="05FB5ACE" w:rsidR="00FB7BAD" w:rsidRPr="008C41E4" w:rsidRDefault="00FB7BAD" w:rsidP="0019309F">
      <w:pPr>
        <w:pStyle w:val="Bullet1"/>
        <w:jc w:val="left"/>
      </w:pPr>
      <w:r w:rsidRPr="008C41E4">
        <w:t>58</w:t>
      </w:r>
      <w:r w:rsidR="00AC5E62">
        <w:t xml:space="preserve"> per cent</w:t>
      </w:r>
      <w:r w:rsidRPr="008C41E4">
        <w:t xml:space="preserve"> of residents were aged 60</w:t>
      </w:r>
      <w:r>
        <w:t xml:space="preserve"> years and over and 27</w:t>
      </w:r>
      <w:r w:rsidR="00AC5E62">
        <w:t xml:space="preserve"> per cent</w:t>
      </w:r>
      <w:r>
        <w:t xml:space="preserve"> were 70 years and over;</w:t>
      </w:r>
    </w:p>
    <w:p w14:paraId="4E29427F" w14:textId="16D73FD2" w:rsidR="00FB7BAD" w:rsidRPr="008C41E4" w:rsidRDefault="00FB7BAD" w:rsidP="0019309F">
      <w:pPr>
        <w:pStyle w:val="Bullet1"/>
        <w:jc w:val="left"/>
      </w:pPr>
      <w:r w:rsidRPr="008C41E4">
        <w:t>50</w:t>
      </w:r>
      <w:r w:rsidR="00AC5E62">
        <w:t xml:space="preserve"> per cent</w:t>
      </w:r>
      <w:r w:rsidRPr="008C41E4">
        <w:t xml:space="preserve"> of residents reported </w:t>
      </w:r>
      <w:r w:rsidR="002F65CA">
        <w:t>that they were</w:t>
      </w:r>
      <w:r w:rsidRPr="008C41E4">
        <w:t xml:space="preserve"> neither employed nor looking for work;</w:t>
      </w:r>
    </w:p>
    <w:p w14:paraId="1FE8DBAE" w14:textId="5AB80A7E" w:rsidR="00FB7BAD" w:rsidRPr="008C41E4" w:rsidRDefault="00FB7BAD" w:rsidP="0019309F">
      <w:pPr>
        <w:pStyle w:val="Bullet1"/>
        <w:jc w:val="left"/>
      </w:pPr>
      <w:r w:rsidRPr="008C41E4">
        <w:t>26</w:t>
      </w:r>
      <w:r w:rsidR="00AC5E62">
        <w:t xml:space="preserve"> per cent</w:t>
      </w:r>
      <w:r w:rsidRPr="008C41E4">
        <w:t xml:space="preserve"> of residents reported receiving the age pension;</w:t>
      </w:r>
    </w:p>
    <w:p w14:paraId="43405802" w14:textId="61776E3F" w:rsidR="00FB7BAD" w:rsidRPr="008C41E4" w:rsidRDefault="00FB7BAD" w:rsidP="0019309F">
      <w:pPr>
        <w:pStyle w:val="Bullet1"/>
        <w:jc w:val="left"/>
      </w:pPr>
      <w:r w:rsidRPr="008C41E4">
        <w:t xml:space="preserve">income </w:t>
      </w:r>
      <w:r w:rsidR="00C07EF4">
        <w:t>for</w:t>
      </w:r>
      <w:r w:rsidRPr="008C41E4">
        <w:t xml:space="preserve"> 62</w:t>
      </w:r>
      <w:r w:rsidR="00AC5E62">
        <w:t xml:space="preserve"> per cent</w:t>
      </w:r>
      <w:r w:rsidRPr="008C41E4">
        <w:t xml:space="preserve"> of residential parks households </w:t>
      </w:r>
      <w:r w:rsidR="00F21BE9">
        <w:t>was</w:t>
      </w:r>
      <w:r w:rsidRPr="008C41E4">
        <w:t xml:space="preserve"> below the Western Australian median household income of $1815</w:t>
      </w:r>
      <w:r w:rsidR="00C84E73">
        <w:t xml:space="preserve"> per week</w:t>
      </w:r>
      <w:r w:rsidRPr="008C41E4">
        <w:t>;</w:t>
      </w:r>
      <w:bookmarkEnd w:id="7"/>
      <w:r>
        <w:t xml:space="preserve"> and</w:t>
      </w:r>
    </w:p>
    <w:p w14:paraId="167D2E9A" w14:textId="3DCD44FF" w:rsidR="00FB7BAD" w:rsidRDefault="00FB7BAD" w:rsidP="0019309F">
      <w:pPr>
        <w:pStyle w:val="Bullet1"/>
        <w:jc w:val="left"/>
      </w:pPr>
      <w:r>
        <w:t>t</w:t>
      </w:r>
      <w:r w:rsidRPr="008C41E4">
        <w:t xml:space="preserve">he </w:t>
      </w:r>
      <w:r w:rsidR="00AC5E62">
        <w:t>10</w:t>
      </w:r>
      <w:r w:rsidRPr="008C41E4">
        <w:t xml:space="preserve"> local government areas with the most residential park residents were remote and regional</w:t>
      </w:r>
      <w:r w:rsidR="008B3A5B">
        <w:t>,</w:t>
      </w:r>
      <w:r>
        <w:t xml:space="preserve"> led by </w:t>
      </w:r>
      <w:r w:rsidR="00F5754F">
        <w:t xml:space="preserve">the Shire of </w:t>
      </w:r>
      <w:r>
        <w:t xml:space="preserve">Broome (4908 residents), then </w:t>
      </w:r>
      <w:r w:rsidR="00F5754F">
        <w:t xml:space="preserve">the Shire of </w:t>
      </w:r>
      <w:r w:rsidRPr="008C41E4">
        <w:t>Carnarvon (2495)</w:t>
      </w:r>
      <w:r>
        <w:t xml:space="preserve"> and </w:t>
      </w:r>
      <w:r w:rsidR="00F5754F">
        <w:t xml:space="preserve">the Shire of </w:t>
      </w:r>
      <w:r w:rsidRPr="008C41E4">
        <w:t>Exmouth (2306)</w:t>
      </w:r>
      <w:r>
        <w:t>.</w:t>
      </w:r>
    </w:p>
    <w:p w14:paraId="605EDBE7" w14:textId="06DCC9E0" w:rsidR="00FC71B1" w:rsidRDefault="00FC71B1" w:rsidP="0019309F">
      <w:pPr>
        <w:pStyle w:val="BodyText"/>
        <w:jc w:val="left"/>
      </w:pPr>
      <w:r>
        <w:t xml:space="preserve">These statistics indicate that the number of tenants in residential parks has </w:t>
      </w:r>
      <w:r w:rsidR="00690590">
        <w:t xml:space="preserve">grown modestly </w:t>
      </w:r>
      <w:r>
        <w:t xml:space="preserve">since 2011 </w:t>
      </w:r>
      <w:r w:rsidR="00F5754F">
        <w:t xml:space="preserve">when the census </w:t>
      </w:r>
      <w:r w:rsidR="00690590">
        <w:t xml:space="preserve">reported </w:t>
      </w:r>
      <w:r w:rsidR="00F5754F">
        <w:t xml:space="preserve">a total of </w:t>
      </w:r>
      <w:r>
        <w:t>28,466 people in 15,432 dwellings</w:t>
      </w:r>
      <w:r w:rsidR="00090E46">
        <w:t>.</w:t>
      </w:r>
      <w:r w:rsidR="00F5754F">
        <w:rPr>
          <w:rStyle w:val="FootnoteReference"/>
        </w:rPr>
        <w:footnoteReference w:id="3"/>
      </w:r>
    </w:p>
    <w:p w14:paraId="18DBA4DE" w14:textId="5F3944AE" w:rsidR="0013349A" w:rsidRDefault="00690590" w:rsidP="0019309F">
      <w:pPr>
        <w:pStyle w:val="BodyText"/>
        <w:jc w:val="left"/>
      </w:pPr>
      <w:r>
        <w:t xml:space="preserve">A </w:t>
      </w:r>
      <w:r w:rsidR="00B31680">
        <w:t>2014</w:t>
      </w:r>
      <w:r w:rsidR="00AC5E62">
        <w:t>–</w:t>
      </w:r>
      <w:r w:rsidR="00B31680">
        <w:t>15 survey of the sector</w:t>
      </w:r>
      <w:r w:rsidR="004F73C0">
        <w:rPr>
          <w:rStyle w:val="FootnoteReference"/>
        </w:rPr>
        <w:footnoteReference w:id="4"/>
      </w:r>
      <w:r w:rsidR="00B31680">
        <w:t xml:space="preserve"> estimated there were around 160 </w:t>
      </w:r>
      <w:r w:rsidR="008620FF">
        <w:t xml:space="preserve">residential </w:t>
      </w:r>
      <w:r w:rsidR="00B31680">
        <w:t xml:space="preserve">parks </w:t>
      </w:r>
      <w:r>
        <w:t xml:space="preserve">in </w:t>
      </w:r>
      <w:r w:rsidR="004F73C0">
        <w:t>WA</w:t>
      </w:r>
      <w:r>
        <w:t xml:space="preserve"> </w:t>
      </w:r>
      <w:r w:rsidR="00B31680">
        <w:t>wit</w:t>
      </w:r>
      <w:r w:rsidR="00997FFA">
        <w:t>h</w:t>
      </w:r>
      <w:r w:rsidR="00AB6DAF">
        <w:t xml:space="preserve"> up to 15,000 long-stay tenants across 7</w:t>
      </w:r>
      <w:r w:rsidR="004F73C0">
        <w:t>,</w:t>
      </w:r>
      <w:r w:rsidR="00AB6DAF">
        <w:t xml:space="preserve">532 occupied sites. When compared to the </w:t>
      </w:r>
      <w:r>
        <w:t xml:space="preserve">census </w:t>
      </w:r>
      <w:r w:rsidR="002F65CA">
        <w:t>data</w:t>
      </w:r>
      <w:r w:rsidR="00AB6DAF">
        <w:t xml:space="preserve">, this </w:t>
      </w:r>
      <w:r w:rsidR="002F65CA">
        <w:t xml:space="preserve">suggests that </w:t>
      </w:r>
      <w:r w:rsidR="00AB6DAF">
        <w:t xml:space="preserve">around half of all dwellings and persons at </w:t>
      </w:r>
      <w:r w:rsidR="002E5993">
        <w:t xml:space="preserve">caravan parks in WA </w:t>
      </w:r>
      <w:r w:rsidR="009847A2">
        <w:t xml:space="preserve">at a given time </w:t>
      </w:r>
      <w:r>
        <w:t xml:space="preserve">are </w:t>
      </w:r>
      <w:r w:rsidR="008620FF">
        <w:t>long-stay tenants</w:t>
      </w:r>
      <w:r w:rsidR="00AB6DAF">
        <w:t>.</w:t>
      </w:r>
    </w:p>
    <w:p w14:paraId="16B54B25" w14:textId="2923FCAF" w:rsidR="003B7C18" w:rsidRPr="00B23C32" w:rsidRDefault="003B7C18" w:rsidP="0019309F">
      <w:pPr>
        <w:pStyle w:val="Heading2"/>
        <w:jc w:val="left"/>
        <w:rPr>
          <w:i/>
          <w:iCs w:val="0"/>
        </w:rPr>
      </w:pPr>
      <w:bookmarkStart w:id="8" w:name="_Toc207635542"/>
      <w:bookmarkStart w:id="9" w:name="_Toc219884854"/>
      <w:bookmarkEnd w:id="5"/>
      <w:r w:rsidRPr="00B23C32">
        <w:rPr>
          <w:i/>
          <w:iCs w:val="0"/>
        </w:rPr>
        <w:t>Residential Parks (Long-stay Tenants) Act 2006</w:t>
      </w:r>
      <w:bookmarkEnd w:id="8"/>
      <w:bookmarkEnd w:id="9"/>
    </w:p>
    <w:p w14:paraId="0038E3DA" w14:textId="512BB9F6" w:rsidR="008620FF" w:rsidRDefault="003103C2" w:rsidP="0019309F">
      <w:pPr>
        <w:pStyle w:val="BodyText"/>
        <w:jc w:val="left"/>
      </w:pPr>
      <w:r>
        <w:t>The Act came into effect on 3 August 2007</w:t>
      </w:r>
      <w:r w:rsidR="009847A2">
        <w:t xml:space="preserve">, </w:t>
      </w:r>
      <w:r w:rsidR="006B10A4">
        <w:t>t</w:t>
      </w:r>
      <w:r>
        <w:t xml:space="preserve">he </w:t>
      </w:r>
      <w:r w:rsidRPr="0068191C">
        <w:rPr>
          <w:i/>
          <w:iCs/>
        </w:rPr>
        <w:t>Residential Tenancies Act 198</w:t>
      </w:r>
      <w:r w:rsidR="00D821A7">
        <w:rPr>
          <w:i/>
          <w:iCs/>
        </w:rPr>
        <w:t>7</w:t>
      </w:r>
      <w:r w:rsidR="00AD7914">
        <w:rPr>
          <w:i/>
          <w:iCs/>
        </w:rPr>
        <w:t xml:space="preserve"> </w:t>
      </w:r>
      <w:r w:rsidR="00AD7914" w:rsidRPr="00B23C32">
        <w:t>(RTA)</w:t>
      </w:r>
      <w:r>
        <w:t xml:space="preserve"> </w:t>
      </w:r>
      <w:r w:rsidR="006B10A4">
        <w:t xml:space="preserve">having </w:t>
      </w:r>
      <w:r>
        <w:t>previously regulat</w:t>
      </w:r>
      <w:r w:rsidR="006B10A4">
        <w:t>ed</w:t>
      </w:r>
      <w:r>
        <w:t xml:space="preserve"> </w:t>
      </w:r>
      <w:r w:rsidR="004F73C0">
        <w:t xml:space="preserve">tenancies in </w:t>
      </w:r>
      <w:r>
        <w:t>the sector.</w:t>
      </w:r>
    </w:p>
    <w:p w14:paraId="230B70E7" w14:textId="391255AC" w:rsidR="003103C2" w:rsidRDefault="003103C2" w:rsidP="0019309F">
      <w:pPr>
        <w:pStyle w:val="BodyText"/>
        <w:jc w:val="left"/>
      </w:pPr>
      <w:r w:rsidRPr="00D807F1">
        <w:t xml:space="preserve">The </w:t>
      </w:r>
      <w:r>
        <w:t>Act balance</w:t>
      </w:r>
      <w:r w:rsidR="00915EA3">
        <w:t>s</w:t>
      </w:r>
      <w:r>
        <w:t xml:space="preserve"> the tenancy rights of long-stay tenants </w:t>
      </w:r>
      <w:r w:rsidR="002F65CA">
        <w:t xml:space="preserve">with </w:t>
      </w:r>
      <w:r>
        <w:t>the commercial interests of park operators by:</w:t>
      </w:r>
    </w:p>
    <w:p w14:paraId="08F721C4" w14:textId="2A822A7B" w:rsidR="003103C2" w:rsidRDefault="003103C2" w:rsidP="0019309F">
      <w:pPr>
        <w:pStyle w:val="Bullet1"/>
        <w:jc w:val="left"/>
      </w:pPr>
      <w:r>
        <w:lastRenderedPageBreak/>
        <w:t xml:space="preserve">requiring park operators to disclose certain information to prospective tenants prior to signing </w:t>
      </w:r>
      <w:r w:rsidR="006C0B33">
        <w:t xml:space="preserve">a long-stay </w:t>
      </w:r>
      <w:r>
        <w:t>agreement</w:t>
      </w:r>
      <w:r w:rsidR="00CA01B4">
        <w:t xml:space="preserve">, including </w:t>
      </w:r>
      <w:r>
        <w:t xml:space="preserve">a schedule of fees and charges and a copy of the proposed </w:t>
      </w:r>
      <w:r w:rsidR="00CA01B4">
        <w:t>long-stay agreement</w:t>
      </w:r>
      <w:r>
        <w:t>;</w:t>
      </w:r>
    </w:p>
    <w:p w14:paraId="0BD7197F" w14:textId="21388709" w:rsidR="003103C2" w:rsidRDefault="004F73C0" w:rsidP="0019309F">
      <w:pPr>
        <w:pStyle w:val="Bullet1"/>
        <w:jc w:val="left"/>
      </w:pPr>
      <w:r>
        <w:t xml:space="preserve">providing for standard terms and </w:t>
      </w:r>
      <w:r w:rsidR="003103C2">
        <w:t xml:space="preserve">requiring a written </w:t>
      </w:r>
      <w:r w:rsidR="00CA01B4">
        <w:t xml:space="preserve">long-stay </w:t>
      </w:r>
      <w:r w:rsidR="003103C2">
        <w:t xml:space="preserve">agreement </w:t>
      </w:r>
      <w:r w:rsidR="00CA01B4">
        <w:t>in the standard form</w:t>
      </w:r>
      <w:r w:rsidR="003103C2">
        <w:t>;</w:t>
      </w:r>
    </w:p>
    <w:p w14:paraId="55F9E6F1" w14:textId="3E7D3F0D" w:rsidR="003103C2" w:rsidRDefault="003103C2" w:rsidP="0019309F">
      <w:pPr>
        <w:pStyle w:val="Bullet1"/>
        <w:jc w:val="left"/>
      </w:pPr>
      <w:r>
        <w:t xml:space="preserve">prescribing </w:t>
      </w:r>
      <w:r w:rsidR="00690590">
        <w:t xml:space="preserve">some specific </w:t>
      </w:r>
      <w:r>
        <w:t>requirements for these agreements, for example, allowable fees and charges;</w:t>
      </w:r>
    </w:p>
    <w:p w14:paraId="6F1D822A" w14:textId="77777777" w:rsidR="003103C2" w:rsidRDefault="003103C2" w:rsidP="0019309F">
      <w:pPr>
        <w:pStyle w:val="Bullet1"/>
        <w:jc w:val="left"/>
      </w:pPr>
      <w:r>
        <w:t>outlining how rent may be increased;</w:t>
      </w:r>
    </w:p>
    <w:p w14:paraId="155F2046" w14:textId="3C3F7BE9" w:rsidR="004F73C0" w:rsidRDefault="004F73C0" w:rsidP="0019309F">
      <w:pPr>
        <w:pStyle w:val="Bullet1"/>
        <w:jc w:val="left"/>
      </w:pPr>
      <w:r>
        <w:t>making provision for park rules and park liaison committees;</w:t>
      </w:r>
    </w:p>
    <w:p w14:paraId="5A17848F" w14:textId="6752AD3B" w:rsidR="003103C2" w:rsidRDefault="002F65CA" w:rsidP="0019309F">
      <w:pPr>
        <w:pStyle w:val="Bullet1"/>
        <w:jc w:val="left"/>
      </w:pPr>
      <w:r>
        <w:t xml:space="preserve">stipulating </w:t>
      </w:r>
      <w:r w:rsidR="003103C2">
        <w:t>how long-stay agreements must be terminated;</w:t>
      </w:r>
    </w:p>
    <w:p w14:paraId="5345532A" w14:textId="68FA150F" w:rsidR="003103C2" w:rsidRDefault="00CA01B4" w:rsidP="0019309F">
      <w:pPr>
        <w:pStyle w:val="Bullet1"/>
        <w:jc w:val="left"/>
      </w:pPr>
      <w:r>
        <w:t xml:space="preserve">regulating </w:t>
      </w:r>
      <w:r w:rsidR="003103C2">
        <w:t xml:space="preserve">the sale of homes </w:t>
      </w:r>
      <w:r w:rsidR="004F0FCB">
        <w:t>that are not owned by the park operator</w:t>
      </w:r>
      <w:r w:rsidR="0066346E">
        <w:t>; and</w:t>
      </w:r>
    </w:p>
    <w:p w14:paraId="5FD9D4D0" w14:textId="35AAD410" w:rsidR="0066346E" w:rsidRDefault="0066346E" w:rsidP="0019309F">
      <w:pPr>
        <w:pStyle w:val="Bullet1"/>
        <w:jc w:val="left"/>
      </w:pPr>
      <w:r>
        <w:t>providing for determination of disputes by the State Administrative Tribunal</w:t>
      </w:r>
      <w:r w:rsidR="00D970E3">
        <w:t xml:space="preserve"> (SA</w:t>
      </w:r>
      <w:r w:rsidR="00275B20">
        <w:t>T</w:t>
      </w:r>
      <w:r w:rsidR="00D970E3">
        <w:t>)</w:t>
      </w:r>
      <w:r>
        <w:t>.</w:t>
      </w:r>
    </w:p>
    <w:p w14:paraId="454C187C" w14:textId="7B63C52D" w:rsidR="006A3CCB" w:rsidRPr="0066346E" w:rsidRDefault="003103C2" w:rsidP="0019309F">
      <w:pPr>
        <w:pStyle w:val="BodyText"/>
        <w:jc w:val="left"/>
      </w:pPr>
      <w:r>
        <w:t xml:space="preserve">These aspects of the Act are explained in further detail in Consumer Protection’s </w:t>
      </w:r>
      <w:hyperlink r:id="rId12" w:history="1">
        <w:r w:rsidRPr="00C26B9A">
          <w:rPr>
            <w:rStyle w:val="Hyperlink"/>
            <w:szCs w:val="24"/>
          </w:rPr>
          <w:t>Park Living Information Booklet</w:t>
        </w:r>
      </w:hyperlink>
      <w:r w:rsidRPr="00C26B9A">
        <w:t>.</w:t>
      </w:r>
    </w:p>
    <w:p w14:paraId="47DBAE5D" w14:textId="69CC8E04" w:rsidR="003103C2" w:rsidRDefault="003103C2" w:rsidP="0019309F">
      <w:pPr>
        <w:pStyle w:val="BodyText"/>
        <w:jc w:val="left"/>
      </w:pPr>
      <w:r>
        <w:t xml:space="preserve">Substantial amendments to the Act </w:t>
      </w:r>
      <w:r w:rsidR="004F0FCB">
        <w:t xml:space="preserve">came into effect </w:t>
      </w:r>
      <w:r>
        <w:t>on 31 January 2022</w:t>
      </w:r>
      <w:r w:rsidR="00BE6509">
        <w:t>.</w:t>
      </w:r>
      <w:r w:rsidR="00CA01B4">
        <w:rPr>
          <w:rStyle w:val="FootnoteReference"/>
        </w:rPr>
        <w:footnoteReference w:id="5"/>
      </w:r>
      <w:r>
        <w:t xml:space="preserve"> These amendments </w:t>
      </w:r>
      <w:r w:rsidR="004F0FCB">
        <w:t xml:space="preserve">encouraged </w:t>
      </w:r>
      <w:r>
        <w:t xml:space="preserve">fair dealing between operators and tenants and </w:t>
      </w:r>
      <w:r w:rsidR="004F0FCB">
        <w:t xml:space="preserve">provided </w:t>
      </w:r>
      <w:r>
        <w:t xml:space="preserve">clarity </w:t>
      </w:r>
      <w:r w:rsidR="004F0FCB">
        <w:t xml:space="preserve">for </w:t>
      </w:r>
      <w:r>
        <w:t>the parties</w:t>
      </w:r>
      <w:r w:rsidR="004F0FCB">
        <w:t xml:space="preserve"> to a long stay agreement</w:t>
      </w:r>
      <w:r>
        <w:t>. Specifically, the reforms:</w:t>
      </w:r>
    </w:p>
    <w:p w14:paraId="51BCF5CF" w14:textId="3F875D6D" w:rsidR="003103C2" w:rsidRDefault="00090EFC" w:rsidP="0019309F">
      <w:pPr>
        <w:pStyle w:val="Bullet1"/>
        <w:jc w:val="left"/>
      </w:pPr>
      <w:r>
        <w:t xml:space="preserve">improved </w:t>
      </w:r>
      <w:r w:rsidR="003103C2">
        <w:t>disclosure requirements</w:t>
      </w:r>
      <w:r w:rsidR="00CA01B4">
        <w:t>;</w:t>
      </w:r>
    </w:p>
    <w:p w14:paraId="592EDFBD" w14:textId="6359C9A8" w:rsidR="003103C2" w:rsidRDefault="003103C2" w:rsidP="0019309F">
      <w:pPr>
        <w:pStyle w:val="Bullet1"/>
        <w:jc w:val="left"/>
      </w:pPr>
      <w:r>
        <w:t>removed ‘without grounds’ terminations for site-only agreements</w:t>
      </w:r>
      <w:r w:rsidR="00CA01B4">
        <w:t>;</w:t>
      </w:r>
    </w:p>
    <w:p w14:paraId="46A74235" w14:textId="4916EC7A" w:rsidR="00C10412" w:rsidRDefault="003103C2" w:rsidP="0019309F">
      <w:pPr>
        <w:pStyle w:val="Bullet1"/>
        <w:jc w:val="left"/>
      </w:pPr>
      <w:r>
        <w:t xml:space="preserve">removed </w:t>
      </w:r>
      <w:r w:rsidR="004F0FCB">
        <w:t xml:space="preserve">the ability for </w:t>
      </w:r>
      <w:r>
        <w:t xml:space="preserve">fixed-term lease agreements </w:t>
      </w:r>
      <w:r w:rsidR="004F0FCB">
        <w:t xml:space="preserve">to be terminated </w:t>
      </w:r>
      <w:r>
        <w:t xml:space="preserve">on sale of the park; </w:t>
      </w:r>
    </w:p>
    <w:p w14:paraId="764A31D2" w14:textId="6CD29087" w:rsidR="003103C2" w:rsidRPr="00090EFC" w:rsidRDefault="00C10412" w:rsidP="0019309F">
      <w:pPr>
        <w:pStyle w:val="Bullet1"/>
        <w:jc w:val="left"/>
      </w:pPr>
      <w:r w:rsidRPr="00090EFC">
        <w:t xml:space="preserve">prohibited market rent reviews; </w:t>
      </w:r>
      <w:r w:rsidR="003103C2" w:rsidRPr="00090EFC">
        <w:t>and</w:t>
      </w:r>
    </w:p>
    <w:p w14:paraId="17662F2A" w14:textId="65FA605F" w:rsidR="003103C2" w:rsidRDefault="003103C2" w:rsidP="0019309F">
      <w:pPr>
        <w:pStyle w:val="Bullet1"/>
        <w:jc w:val="left"/>
      </w:pPr>
      <w:r>
        <w:t xml:space="preserve">provided </w:t>
      </w:r>
      <w:r w:rsidR="00CA01B4">
        <w:t xml:space="preserve">clearer processes in relation to </w:t>
      </w:r>
      <w:r>
        <w:t>park rules.</w:t>
      </w:r>
      <w:r>
        <w:rPr>
          <w:rStyle w:val="FootnoteReference"/>
        </w:rPr>
        <w:footnoteReference w:id="6"/>
      </w:r>
      <w:r>
        <w:t xml:space="preserve"> </w:t>
      </w:r>
    </w:p>
    <w:p w14:paraId="07473004" w14:textId="67712AA2" w:rsidR="00C13A96" w:rsidRPr="00C26B9A" w:rsidRDefault="003103C2" w:rsidP="0019309F">
      <w:pPr>
        <w:pStyle w:val="BodyText"/>
        <w:jc w:val="left"/>
      </w:pPr>
      <w:r w:rsidRPr="00C26B9A">
        <w:t xml:space="preserve">The amendments followed extensive public consultation including a </w:t>
      </w:r>
      <w:r w:rsidR="004F0FCB" w:rsidRPr="00C26B9A">
        <w:t xml:space="preserve">2012 </w:t>
      </w:r>
      <w:r w:rsidRPr="00C26B9A">
        <w:t>statutory review, publication of a consultation paper in 2014 and consultation with key stakeholders during the drafting stage of the reforms</w:t>
      </w:r>
      <w:r w:rsidR="00C13A96" w:rsidRPr="00C26B9A">
        <w:t xml:space="preserve">. </w:t>
      </w:r>
    </w:p>
    <w:p w14:paraId="5109BE34" w14:textId="17CC491C" w:rsidR="00C13A96" w:rsidRPr="00C103FA" w:rsidRDefault="003103C2" w:rsidP="0019309F">
      <w:pPr>
        <w:pStyle w:val="Heading2"/>
        <w:jc w:val="left"/>
      </w:pPr>
      <w:bookmarkStart w:id="10" w:name="_Toc219884855"/>
      <w:r w:rsidRPr="00C103FA">
        <w:t>Review</w:t>
      </w:r>
      <w:r w:rsidR="00286FE4" w:rsidRPr="00C103FA">
        <w:t xml:space="preserve"> </w:t>
      </w:r>
      <w:r w:rsidR="00C103FA">
        <w:t>s</w:t>
      </w:r>
      <w:r w:rsidR="00286FE4" w:rsidRPr="00C103FA">
        <w:t xml:space="preserve">cope and </w:t>
      </w:r>
      <w:r w:rsidR="00C103FA">
        <w:t>p</w:t>
      </w:r>
      <w:r w:rsidR="00286FE4" w:rsidRPr="00C103FA">
        <w:t>rocess</w:t>
      </w:r>
      <w:bookmarkEnd w:id="10"/>
    </w:p>
    <w:p w14:paraId="7943982A" w14:textId="53A3745F" w:rsidR="0037199D" w:rsidRDefault="0037199D" w:rsidP="0019309F">
      <w:pPr>
        <w:pStyle w:val="BodyText"/>
        <w:jc w:val="left"/>
      </w:pPr>
      <w:r>
        <w:t>Th</w:t>
      </w:r>
      <w:r w:rsidR="002F65CA">
        <w:t>is</w:t>
      </w:r>
      <w:r>
        <w:t xml:space="preserve"> review will consider the operation and effectiveness of the Act during the three key </w:t>
      </w:r>
      <w:r w:rsidR="00A26CD3">
        <w:t>stages</w:t>
      </w:r>
      <w:r>
        <w:t xml:space="preserve"> of the </w:t>
      </w:r>
      <w:r w:rsidR="00A855E1">
        <w:t>tenancy</w:t>
      </w:r>
      <w:r>
        <w:t xml:space="preserve">: </w:t>
      </w:r>
    </w:p>
    <w:p w14:paraId="31318C87" w14:textId="34A781E8" w:rsidR="0037199D" w:rsidRDefault="0037199D" w:rsidP="0019309F">
      <w:pPr>
        <w:pStyle w:val="Bullet1"/>
        <w:jc w:val="left"/>
      </w:pPr>
      <w:r>
        <w:t xml:space="preserve">prior to </w:t>
      </w:r>
      <w:r w:rsidR="00D20CA7">
        <w:t>living in</w:t>
      </w:r>
      <w:r>
        <w:t xml:space="preserve"> a park</w:t>
      </w:r>
      <w:r w:rsidR="00C103FA">
        <w:t>;</w:t>
      </w:r>
    </w:p>
    <w:p w14:paraId="54E8E7E4" w14:textId="77777777" w:rsidR="0037199D" w:rsidRDefault="0037199D" w:rsidP="0019309F">
      <w:pPr>
        <w:pStyle w:val="Bullet1"/>
        <w:jc w:val="left"/>
      </w:pPr>
      <w:r>
        <w:t>living in a park; and</w:t>
      </w:r>
    </w:p>
    <w:p w14:paraId="0614EF4C" w14:textId="40B452A1" w:rsidR="0037199D" w:rsidRDefault="00A855E1" w:rsidP="0019309F">
      <w:pPr>
        <w:pStyle w:val="Bullet1"/>
        <w:jc w:val="left"/>
      </w:pPr>
      <w:r>
        <w:t>leaving</w:t>
      </w:r>
      <w:r w:rsidR="0037199D">
        <w:t xml:space="preserve"> a park. </w:t>
      </w:r>
    </w:p>
    <w:p w14:paraId="4F3B21DA" w14:textId="0590FBD6" w:rsidR="002B5B11" w:rsidRDefault="0037199D" w:rsidP="0019309F">
      <w:pPr>
        <w:pStyle w:val="BodyText"/>
        <w:jc w:val="left"/>
      </w:pPr>
      <w:r>
        <w:lastRenderedPageBreak/>
        <w:t>Th</w:t>
      </w:r>
      <w:r w:rsidR="002F65CA">
        <w:t>e</w:t>
      </w:r>
      <w:r>
        <w:t xml:space="preserve"> review will </w:t>
      </w:r>
      <w:r w:rsidR="002F65CA">
        <w:t>determine whether</w:t>
      </w:r>
      <w:r>
        <w:t xml:space="preserve"> changes to the </w:t>
      </w:r>
      <w:r w:rsidR="000E390E">
        <w:t>A</w:t>
      </w:r>
      <w:r w:rsidR="002F57F1">
        <w:t>ct</w:t>
      </w:r>
      <w:r>
        <w:t xml:space="preserve">, the Residential Parks (Long-stay Tenants) Regulations 2007 (Regulations) or guidance material published by </w:t>
      </w:r>
      <w:r w:rsidR="00977CB7">
        <w:t>LGIRS</w:t>
      </w:r>
      <w:r>
        <w:t xml:space="preserve"> </w:t>
      </w:r>
      <w:r w:rsidR="00A855E1">
        <w:t>would improve their operation or effectiveness.</w:t>
      </w:r>
    </w:p>
    <w:p w14:paraId="6C2CE570" w14:textId="5C177B2D" w:rsidR="0037199D" w:rsidRDefault="004A56D0" w:rsidP="0019309F">
      <w:pPr>
        <w:pStyle w:val="BodyText"/>
        <w:jc w:val="left"/>
      </w:pPr>
      <w:r>
        <w:t xml:space="preserve">The review </w:t>
      </w:r>
      <w:r w:rsidR="002B5B11">
        <w:t>will also consider</w:t>
      </w:r>
      <w:r>
        <w:t xml:space="preserve"> </w:t>
      </w:r>
      <w:r w:rsidR="00A855E1">
        <w:t>developments in other jurisdictions</w:t>
      </w:r>
      <w:r>
        <w:t xml:space="preserve"> including the recently </w:t>
      </w:r>
      <w:r w:rsidR="002F65CA">
        <w:t>released</w:t>
      </w:r>
      <w:r>
        <w:t xml:space="preserve"> </w:t>
      </w:r>
      <w:r w:rsidR="00803838">
        <w:t xml:space="preserve">report into the Victorian residential parks sector </w:t>
      </w:r>
      <w:r w:rsidR="009847A2">
        <w:t xml:space="preserve">produced </w:t>
      </w:r>
      <w:r w:rsidR="00A855E1">
        <w:t xml:space="preserve">by </w:t>
      </w:r>
      <w:r w:rsidR="00803838">
        <w:t xml:space="preserve">the Victorian Commissioner for Residential Tenancies </w:t>
      </w:r>
      <w:r w:rsidR="00A855E1">
        <w:t xml:space="preserve">in partnership with </w:t>
      </w:r>
      <w:r w:rsidR="00803838">
        <w:t>the Consumer Policy Research Centre</w:t>
      </w:r>
      <w:r w:rsidR="002F2477">
        <w:t>.</w:t>
      </w:r>
      <w:r w:rsidR="00BB6E66">
        <w:rPr>
          <w:rStyle w:val="FootnoteReference"/>
        </w:rPr>
        <w:footnoteReference w:id="7"/>
      </w:r>
    </w:p>
    <w:p w14:paraId="27089F2D" w14:textId="77777777" w:rsidR="0037199D" w:rsidRDefault="0037199D" w:rsidP="0019309F">
      <w:pPr>
        <w:pStyle w:val="BodyText"/>
        <w:jc w:val="left"/>
      </w:pPr>
      <w:r>
        <w:t>The review will be conducted in three stages:</w:t>
      </w:r>
    </w:p>
    <w:p w14:paraId="10CF3AD2" w14:textId="0BDD4ED5" w:rsidR="0037199D" w:rsidRPr="00D936A7" w:rsidRDefault="0037199D" w:rsidP="0019309F">
      <w:pPr>
        <w:pStyle w:val="BodyText"/>
        <w:numPr>
          <w:ilvl w:val="0"/>
          <w:numId w:val="13"/>
        </w:numPr>
        <w:jc w:val="left"/>
      </w:pPr>
      <w:r w:rsidRPr="00B23C32">
        <w:rPr>
          <w:b/>
          <w:bCs/>
        </w:rPr>
        <w:t>Consultation</w:t>
      </w:r>
      <w:r w:rsidRPr="00D936A7">
        <w:rPr>
          <w:i/>
          <w:iCs/>
        </w:rPr>
        <w:t xml:space="preserve"> </w:t>
      </w:r>
      <w:r w:rsidRPr="00B23C32">
        <w:t>(</w:t>
      </w:r>
      <w:r w:rsidR="00A855E1" w:rsidRPr="00B23C32">
        <w:t>early 2026</w:t>
      </w:r>
      <w:r w:rsidRPr="00B23C32">
        <w:t>)</w:t>
      </w:r>
      <w:r w:rsidRPr="00C103FA">
        <w:t>:</w:t>
      </w:r>
      <w:r w:rsidRPr="00D936A7">
        <w:t xml:space="preserve"> </w:t>
      </w:r>
      <w:r w:rsidR="00C103FA">
        <w:t>C</w:t>
      </w:r>
      <w:r w:rsidR="001D4137" w:rsidRPr="00D936A7">
        <w:t xml:space="preserve">ommencing with the </w:t>
      </w:r>
      <w:r w:rsidRPr="00D936A7">
        <w:t xml:space="preserve">release of this Discussion Paper and </w:t>
      </w:r>
      <w:r w:rsidR="001D4137" w:rsidRPr="00D936A7">
        <w:t>a</w:t>
      </w:r>
      <w:r w:rsidR="00C0056F" w:rsidRPr="00D936A7">
        <w:t>n online</w:t>
      </w:r>
      <w:r w:rsidR="001D4137" w:rsidRPr="00D936A7">
        <w:t xml:space="preserve"> </w:t>
      </w:r>
      <w:r w:rsidR="00C0056F" w:rsidRPr="00D936A7">
        <w:t xml:space="preserve">stakeholder </w:t>
      </w:r>
      <w:r w:rsidRPr="00D936A7">
        <w:t xml:space="preserve">survey. </w:t>
      </w:r>
      <w:r w:rsidR="001D4137" w:rsidRPr="00D936A7">
        <w:t>This will be followed by a</w:t>
      </w:r>
      <w:r w:rsidR="007B7995" w:rsidRPr="00D936A7">
        <w:t>n a</w:t>
      </w:r>
      <w:r w:rsidRPr="00D936A7">
        <w:t>ssessment of submissions and survey responses.</w:t>
      </w:r>
    </w:p>
    <w:p w14:paraId="791049FA" w14:textId="3CE4371D" w:rsidR="0037199D" w:rsidRPr="00D936A7" w:rsidRDefault="0037199D" w:rsidP="0019309F">
      <w:pPr>
        <w:pStyle w:val="BodyText"/>
        <w:numPr>
          <w:ilvl w:val="0"/>
          <w:numId w:val="13"/>
        </w:numPr>
        <w:jc w:val="left"/>
      </w:pPr>
      <w:r w:rsidRPr="00B23C32">
        <w:rPr>
          <w:b/>
          <w:bCs/>
        </w:rPr>
        <w:t>Decision</w:t>
      </w:r>
      <w:r w:rsidRPr="00B23C32">
        <w:t xml:space="preserve"> (</w:t>
      </w:r>
      <w:r w:rsidR="00A855E1" w:rsidRPr="00B23C32">
        <w:t>mid</w:t>
      </w:r>
      <w:r w:rsidR="00C0056F" w:rsidRPr="00B23C32">
        <w:t>-</w:t>
      </w:r>
      <w:r w:rsidRPr="00B23C32">
        <w:t>2026)</w:t>
      </w:r>
      <w:r w:rsidRPr="00C103FA">
        <w:t>:</w:t>
      </w:r>
      <w:r w:rsidRPr="00D936A7">
        <w:t xml:space="preserve"> </w:t>
      </w:r>
      <w:r w:rsidR="001D4137" w:rsidRPr="00D936A7">
        <w:t xml:space="preserve">The </w:t>
      </w:r>
      <w:r w:rsidRPr="00D936A7">
        <w:t xml:space="preserve">Minister </w:t>
      </w:r>
      <w:r w:rsidR="001D4137" w:rsidRPr="00D936A7">
        <w:t xml:space="preserve">will </w:t>
      </w:r>
      <w:r w:rsidRPr="00D936A7">
        <w:t>table a report on the review in Parliament that may include recommended reforms and/or improvements.</w:t>
      </w:r>
    </w:p>
    <w:p w14:paraId="4DDBC331" w14:textId="442600EB" w:rsidR="00F07ABC" w:rsidRPr="00D936A7" w:rsidRDefault="0037199D" w:rsidP="0019309F">
      <w:pPr>
        <w:pStyle w:val="BodyText"/>
        <w:numPr>
          <w:ilvl w:val="0"/>
          <w:numId w:val="13"/>
        </w:numPr>
        <w:jc w:val="left"/>
      </w:pPr>
      <w:r w:rsidRPr="00B23C32">
        <w:rPr>
          <w:b/>
          <w:bCs/>
        </w:rPr>
        <w:t>Implementation</w:t>
      </w:r>
      <w:r w:rsidRPr="00D936A7">
        <w:t xml:space="preserve"> (</w:t>
      </w:r>
      <w:r w:rsidR="009847A2" w:rsidRPr="00D936A7">
        <w:t xml:space="preserve">from </w:t>
      </w:r>
      <w:r w:rsidR="001D4137" w:rsidRPr="00D936A7">
        <w:t xml:space="preserve">the second half of </w:t>
      </w:r>
      <w:r w:rsidRPr="00D936A7">
        <w:t xml:space="preserve">2026): </w:t>
      </w:r>
      <w:r w:rsidR="00C103FA">
        <w:t>A</w:t>
      </w:r>
      <w:r w:rsidRPr="00D936A7">
        <w:t xml:space="preserve">ny reforms and/or improvements </w:t>
      </w:r>
      <w:r w:rsidR="001D4137" w:rsidRPr="00D936A7">
        <w:t xml:space="preserve">endorsed by the </w:t>
      </w:r>
      <w:r w:rsidR="0037778B">
        <w:t xml:space="preserve">State </w:t>
      </w:r>
      <w:r w:rsidR="001D4137" w:rsidRPr="00D936A7">
        <w:t xml:space="preserve">Government </w:t>
      </w:r>
      <w:r w:rsidR="00A855E1" w:rsidRPr="00D936A7">
        <w:t xml:space="preserve">will be </w:t>
      </w:r>
      <w:r w:rsidR="00F07ABC" w:rsidRPr="00D936A7">
        <w:t>implemented.</w:t>
      </w:r>
    </w:p>
    <w:p w14:paraId="5DA4107E" w14:textId="7CBA5A07" w:rsidR="002B5B11" w:rsidRDefault="002B5B11" w:rsidP="0019309F">
      <w:pPr>
        <w:pStyle w:val="Heading2"/>
        <w:jc w:val="left"/>
      </w:pPr>
      <w:bookmarkStart w:id="11" w:name="_Toc219884856"/>
      <w:r>
        <w:t>Other legislation</w:t>
      </w:r>
      <w:r w:rsidR="00994B03">
        <w:t xml:space="preserve"> outside scope of this review</w:t>
      </w:r>
      <w:bookmarkEnd w:id="11"/>
    </w:p>
    <w:p w14:paraId="0231CD76" w14:textId="35BD0006" w:rsidR="00994B03" w:rsidRDefault="00994B03" w:rsidP="0019309F">
      <w:pPr>
        <w:pStyle w:val="BodyText"/>
        <w:jc w:val="left"/>
      </w:pPr>
      <w:r>
        <w:t>Other</w:t>
      </w:r>
      <w:r w:rsidR="00D821A7">
        <w:t xml:space="preserve"> Western Australian</w:t>
      </w:r>
      <w:r>
        <w:t xml:space="preserve"> legislation </w:t>
      </w:r>
      <w:r w:rsidR="006B67ED">
        <w:t xml:space="preserve">that regulates the development and licensing of </w:t>
      </w:r>
      <w:r w:rsidR="00DB1257">
        <w:t xml:space="preserve">residential </w:t>
      </w:r>
      <w:r w:rsidR="006B67ED">
        <w:t xml:space="preserve">parks </w:t>
      </w:r>
      <w:r>
        <w:t>will not be considered by this review.</w:t>
      </w:r>
    </w:p>
    <w:p w14:paraId="375E4538" w14:textId="6AA066F4" w:rsidR="00994B03" w:rsidRDefault="00F07ABC" w:rsidP="0019309F">
      <w:pPr>
        <w:pStyle w:val="BodyText"/>
        <w:jc w:val="left"/>
      </w:pPr>
      <w:r>
        <w:t xml:space="preserve">The </w:t>
      </w:r>
      <w:r w:rsidRPr="00B559A0">
        <w:rPr>
          <w:i/>
          <w:iCs/>
        </w:rPr>
        <w:t>Caravan and Camping Grounds Act 1997</w:t>
      </w:r>
      <w:r>
        <w:t xml:space="preserve"> </w:t>
      </w:r>
      <w:r w:rsidR="000E390E">
        <w:t>(WA)</w:t>
      </w:r>
      <w:r w:rsidR="001D4137">
        <w:t xml:space="preserve"> (CCAWA)</w:t>
      </w:r>
      <w:r w:rsidR="000E390E">
        <w:t xml:space="preserve"> </w:t>
      </w:r>
      <w:r>
        <w:t>establishes a licensing scheme for caravan parks</w:t>
      </w:r>
      <w:r w:rsidR="00994B03">
        <w:t>.</w:t>
      </w:r>
      <w:r w:rsidR="007945D2">
        <w:t xml:space="preserve"> </w:t>
      </w:r>
      <w:r>
        <w:t>Th</w:t>
      </w:r>
      <w:r w:rsidR="001D4137">
        <w:t xml:space="preserve">e CCAWA </w:t>
      </w:r>
      <w:r>
        <w:t xml:space="preserve">is administered by </w:t>
      </w:r>
      <w:r w:rsidR="000A7E0B">
        <w:t>LGIRS</w:t>
      </w:r>
      <w:r>
        <w:t xml:space="preserve"> – Local Government Division</w:t>
      </w:r>
      <w:r w:rsidR="00994B03">
        <w:t xml:space="preserve"> with licences issued by the relevant local government authority.</w:t>
      </w:r>
    </w:p>
    <w:p w14:paraId="0613EF6B" w14:textId="73158423" w:rsidR="007B7995" w:rsidRDefault="003737D3" w:rsidP="0019309F">
      <w:pPr>
        <w:pStyle w:val="BodyText"/>
        <w:jc w:val="left"/>
      </w:pPr>
      <w:r>
        <w:t xml:space="preserve">The </w:t>
      </w:r>
      <w:r w:rsidR="001D4137">
        <w:t>Department of Planning</w:t>
      </w:r>
      <w:r w:rsidR="00C0056F">
        <w:t>, Lands and Heritage</w:t>
      </w:r>
      <w:r w:rsidR="001D4137">
        <w:t xml:space="preserve"> </w:t>
      </w:r>
      <w:r w:rsidR="00994B03">
        <w:t xml:space="preserve">is </w:t>
      </w:r>
      <w:r w:rsidR="001D4137">
        <w:t>responsible for regulating land use and development</w:t>
      </w:r>
      <w:r w:rsidR="006B67ED">
        <w:t xml:space="preserve"> of park sites</w:t>
      </w:r>
      <w:r w:rsidR="00994B03">
        <w:t xml:space="preserve">. </w:t>
      </w:r>
    </w:p>
    <w:p w14:paraId="0169413F" w14:textId="6633C7DF" w:rsidR="0013349A" w:rsidRDefault="007B7995" w:rsidP="0019309F">
      <w:pPr>
        <w:pStyle w:val="BodyText"/>
        <w:jc w:val="left"/>
      </w:pPr>
      <w:r>
        <w:t>E</w:t>
      </w:r>
      <w:r w:rsidR="00F07ABC">
        <w:t>mbedded electricity networks</w:t>
      </w:r>
      <w:r>
        <w:t xml:space="preserve"> </w:t>
      </w:r>
      <w:r w:rsidR="00841A36">
        <w:t xml:space="preserve">operate in </w:t>
      </w:r>
      <w:r w:rsidR="000C583B">
        <w:t xml:space="preserve">some </w:t>
      </w:r>
      <w:r w:rsidR="00F07ABC">
        <w:t>residential parks</w:t>
      </w:r>
      <w:r>
        <w:t>. Regulation of embedded networks is</w:t>
      </w:r>
      <w:r w:rsidR="00F07ABC">
        <w:t xml:space="preserve"> </w:t>
      </w:r>
      <w:r w:rsidR="006B67ED">
        <w:t xml:space="preserve">currently </w:t>
      </w:r>
      <w:r w:rsidR="00C3070F">
        <w:t>undergoing</w:t>
      </w:r>
      <w:r w:rsidR="00F07ABC">
        <w:t xml:space="preserve"> reform and is</w:t>
      </w:r>
      <w:r w:rsidR="00586714">
        <w:t xml:space="preserve"> </w:t>
      </w:r>
      <w:r w:rsidR="00F07ABC">
        <w:t>outside of scope for the review. Further information can be found on</w:t>
      </w:r>
      <w:r w:rsidR="00DB41B6">
        <w:t xml:space="preserve"> the website of Energy Policy WA that is a division of the Department of Energy and Economic Diversification</w:t>
      </w:r>
      <w:r w:rsidR="002F2477">
        <w:t>.</w:t>
      </w:r>
    </w:p>
    <w:p w14:paraId="1EEDAE3E" w14:textId="19F34D5B" w:rsidR="00FD12F6" w:rsidRDefault="000E093A" w:rsidP="0019309F">
      <w:pPr>
        <w:pStyle w:val="Heading2"/>
        <w:jc w:val="left"/>
      </w:pPr>
      <w:bookmarkStart w:id="12" w:name="_Toc219884857"/>
      <w:r>
        <w:t>How to make a submission</w:t>
      </w:r>
      <w:bookmarkEnd w:id="12"/>
    </w:p>
    <w:p w14:paraId="53A5E6D3" w14:textId="04175317" w:rsidR="00994B03" w:rsidRDefault="001A24F2" w:rsidP="0019309F">
      <w:pPr>
        <w:pStyle w:val="BodyText"/>
        <w:jc w:val="left"/>
      </w:pPr>
      <w:r w:rsidRPr="00140CFC">
        <w:t xml:space="preserve">You are invited to comment on any of the issues contained in this </w:t>
      </w:r>
      <w:r>
        <w:t>Discussion</w:t>
      </w:r>
      <w:r w:rsidRPr="00140CFC">
        <w:t xml:space="preserve"> Paper or any other matter</w:t>
      </w:r>
      <w:r w:rsidR="006B67ED">
        <w:t xml:space="preserve"> that</w:t>
      </w:r>
      <w:r w:rsidRPr="00140CFC">
        <w:t xml:space="preserve"> you </w:t>
      </w:r>
      <w:r w:rsidR="006B67ED">
        <w:t xml:space="preserve">consider is </w:t>
      </w:r>
      <w:r w:rsidRPr="00140CFC">
        <w:t xml:space="preserve">relevant to the review. </w:t>
      </w:r>
    </w:p>
    <w:p w14:paraId="0862006E" w14:textId="0F7F0972" w:rsidR="007945D2" w:rsidRDefault="006B67ED" w:rsidP="0019309F">
      <w:pPr>
        <w:pStyle w:val="BodyText"/>
        <w:jc w:val="left"/>
      </w:pPr>
      <w:r>
        <w:t xml:space="preserve">You may wish to </w:t>
      </w:r>
      <w:r w:rsidR="001A24F2" w:rsidRPr="00140CFC">
        <w:t xml:space="preserve">enter your comments </w:t>
      </w:r>
      <w:r w:rsidR="001A24F2" w:rsidRPr="00C0056F">
        <w:t xml:space="preserve">in </w:t>
      </w:r>
      <w:r w:rsidR="001A24F2" w:rsidRPr="001F6934">
        <w:t xml:space="preserve">a </w:t>
      </w:r>
      <w:hyperlink r:id="rId13" w:history="1">
        <w:r w:rsidR="001A24F2" w:rsidRPr="00C94EF9">
          <w:rPr>
            <w:rStyle w:val="Hyperlink"/>
          </w:rPr>
          <w:t>workbook</w:t>
        </w:r>
      </w:hyperlink>
      <w:r w:rsidR="001A24F2" w:rsidRPr="001F6934">
        <w:t xml:space="preserve"> of questions</w:t>
      </w:r>
      <w:r w:rsidR="00C94EF9">
        <w:t>.</w:t>
      </w:r>
      <w:r w:rsidR="001A24F2" w:rsidRPr="00140CFC">
        <w:t xml:space="preserve"> This will assist you in making a submission to the review. You do not need to answer all the questions. Answer as many as you </w:t>
      </w:r>
      <w:r>
        <w:t xml:space="preserve">wish </w:t>
      </w:r>
      <w:r w:rsidR="001A24F2" w:rsidRPr="00140CFC">
        <w:t xml:space="preserve">based on your </w:t>
      </w:r>
      <w:r>
        <w:t xml:space="preserve">interest, </w:t>
      </w:r>
      <w:r w:rsidR="001A24F2" w:rsidRPr="00140CFC">
        <w:t>experience and knowledge.</w:t>
      </w:r>
    </w:p>
    <w:p w14:paraId="5A0775D8" w14:textId="4ECC6199" w:rsidR="000A7E0B" w:rsidRDefault="000A7E0B" w:rsidP="0019309F">
      <w:pPr>
        <w:pStyle w:val="BodyText"/>
        <w:jc w:val="left"/>
      </w:pPr>
      <w:r>
        <w:lastRenderedPageBreak/>
        <w:t>You may also submit comments directly:</w:t>
      </w:r>
    </w:p>
    <w:tbl>
      <w:tblPr>
        <w:tblStyle w:val="TableGrid"/>
        <w:tblW w:w="0" w:type="auto"/>
        <w:tblLook w:val="04A0" w:firstRow="1" w:lastRow="0" w:firstColumn="1" w:lastColumn="0" w:noHBand="0" w:noVBand="1"/>
      </w:tblPr>
      <w:tblGrid>
        <w:gridCol w:w="9622"/>
      </w:tblGrid>
      <w:tr w:rsidR="001A24F2" w:rsidRPr="00CA2AF4" w14:paraId="0DC54DFA" w14:textId="77777777" w:rsidTr="00FB4174">
        <w:tc>
          <w:tcPr>
            <w:tcW w:w="9622" w:type="dxa"/>
          </w:tcPr>
          <w:p w14:paraId="66ED4FAE" w14:textId="4E5DE50F" w:rsidR="001A24F2" w:rsidRPr="006A3CCB" w:rsidRDefault="0037778B" w:rsidP="0019309F">
            <w:pPr>
              <w:pStyle w:val="BodyText"/>
              <w:jc w:val="left"/>
              <w:rPr>
                <w:sz w:val="24"/>
                <w:szCs w:val="24"/>
              </w:rPr>
            </w:pPr>
            <w:r>
              <w:rPr>
                <w:b/>
                <w:bCs/>
                <w:sz w:val="24"/>
                <w:szCs w:val="24"/>
              </w:rPr>
              <w:t>M</w:t>
            </w:r>
            <w:r w:rsidR="001A24F2" w:rsidRPr="006A3CCB">
              <w:rPr>
                <w:b/>
                <w:bCs/>
                <w:sz w:val="24"/>
                <w:szCs w:val="24"/>
              </w:rPr>
              <w:t>ail</w:t>
            </w:r>
            <w:r w:rsidR="001A24F2" w:rsidRPr="006A3CCB">
              <w:rPr>
                <w:sz w:val="24"/>
                <w:szCs w:val="24"/>
              </w:rPr>
              <w:t>:</w:t>
            </w:r>
            <w:r w:rsidR="001A24F2" w:rsidRPr="006A3CCB">
              <w:rPr>
                <w:sz w:val="24"/>
                <w:szCs w:val="24"/>
              </w:rPr>
              <w:tab/>
              <w:t>Residential Parks Statutory Review</w:t>
            </w:r>
          </w:p>
          <w:p w14:paraId="3916B88D" w14:textId="7592F5C0" w:rsidR="001A24F2" w:rsidRPr="006A3CCB" w:rsidRDefault="00940A35" w:rsidP="0019309F">
            <w:pPr>
              <w:pStyle w:val="BodyText"/>
              <w:jc w:val="left"/>
              <w:rPr>
                <w:sz w:val="24"/>
                <w:szCs w:val="24"/>
              </w:rPr>
            </w:pPr>
            <w:r w:rsidRPr="006A3CCB">
              <w:rPr>
                <w:sz w:val="24"/>
                <w:szCs w:val="24"/>
              </w:rPr>
              <w:tab/>
            </w:r>
            <w:r w:rsidR="001A24F2" w:rsidRPr="006A3CCB">
              <w:rPr>
                <w:sz w:val="24"/>
                <w:szCs w:val="24"/>
              </w:rPr>
              <w:t>Department of Local Government, Industry Regulation and Safety</w:t>
            </w:r>
          </w:p>
          <w:p w14:paraId="37B2DA1B" w14:textId="416ABE6C" w:rsidR="001A24F2" w:rsidRPr="006A3CCB" w:rsidRDefault="00940A35" w:rsidP="0019309F">
            <w:pPr>
              <w:pStyle w:val="BodyText"/>
              <w:jc w:val="left"/>
              <w:rPr>
                <w:sz w:val="24"/>
                <w:szCs w:val="24"/>
              </w:rPr>
            </w:pPr>
            <w:r w:rsidRPr="006A3CCB">
              <w:rPr>
                <w:sz w:val="24"/>
                <w:szCs w:val="24"/>
              </w:rPr>
              <w:tab/>
            </w:r>
            <w:r w:rsidR="001A24F2" w:rsidRPr="006A3CCB">
              <w:rPr>
                <w:sz w:val="24"/>
                <w:szCs w:val="24"/>
              </w:rPr>
              <w:t>Consumer Protection Division</w:t>
            </w:r>
          </w:p>
          <w:p w14:paraId="63661253" w14:textId="54F2CB66" w:rsidR="001A24F2" w:rsidRPr="006A3CCB" w:rsidRDefault="00940A35" w:rsidP="0019309F">
            <w:pPr>
              <w:pStyle w:val="BodyText"/>
              <w:jc w:val="left"/>
              <w:rPr>
                <w:sz w:val="24"/>
                <w:szCs w:val="24"/>
              </w:rPr>
            </w:pPr>
            <w:r w:rsidRPr="006A3CCB">
              <w:rPr>
                <w:sz w:val="24"/>
                <w:szCs w:val="24"/>
              </w:rPr>
              <w:tab/>
            </w:r>
            <w:r w:rsidR="001A24F2" w:rsidRPr="006A3CCB">
              <w:rPr>
                <w:sz w:val="24"/>
                <w:szCs w:val="24"/>
              </w:rPr>
              <w:t xml:space="preserve">Locked Bag </w:t>
            </w:r>
            <w:r w:rsidR="001A24F2" w:rsidRPr="00F47F96">
              <w:rPr>
                <w:color w:val="000000" w:themeColor="text1"/>
                <w:sz w:val="24"/>
                <w:szCs w:val="24"/>
              </w:rPr>
              <w:t>1</w:t>
            </w:r>
            <w:r w:rsidR="00B23C32" w:rsidRPr="00F47F96">
              <w:rPr>
                <w:color w:val="000000" w:themeColor="text1"/>
                <w:sz w:val="24"/>
                <w:szCs w:val="24"/>
              </w:rPr>
              <w:t>4,</w:t>
            </w:r>
            <w:r w:rsidR="001A24F2" w:rsidRPr="00F47F96">
              <w:rPr>
                <w:color w:val="000000" w:themeColor="text1"/>
                <w:sz w:val="24"/>
                <w:szCs w:val="24"/>
              </w:rPr>
              <w:t xml:space="preserve"> </w:t>
            </w:r>
            <w:r w:rsidR="00B23C32" w:rsidRPr="00F47F96">
              <w:rPr>
                <w:color w:val="000000" w:themeColor="text1"/>
                <w:sz w:val="24"/>
                <w:szCs w:val="24"/>
              </w:rPr>
              <w:t>Cloisters Square, Perth</w:t>
            </w:r>
            <w:r w:rsidR="001A24F2" w:rsidRPr="00F47F96">
              <w:rPr>
                <w:color w:val="000000" w:themeColor="text1"/>
                <w:sz w:val="24"/>
                <w:szCs w:val="24"/>
              </w:rPr>
              <w:t xml:space="preserve"> WA </w:t>
            </w:r>
            <w:r w:rsidR="001A24F2" w:rsidRPr="006A3CCB">
              <w:rPr>
                <w:sz w:val="24"/>
                <w:szCs w:val="24"/>
              </w:rPr>
              <w:t>6892</w:t>
            </w:r>
          </w:p>
          <w:p w14:paraId="5DD9F628" w14:textId="4D5E56B4" w:rsidR="001A24F2" w:rsidRPr="00CA2AF4" w:rsidRDefault="0037778B" w:rsidP="0019309F">
            <w:pPr>
              <w:pStyle w:val="BodyText"/>
              <w:jc w:val="left"/>
            </w:pPr>
            <w:r>
              <w:rPr>
                <w:b/>
                <w:bCs/>
                <w:sz w:val="24"/>
                <w:szCs w:val="24"/>
              </w:rPr>
              <w:t>E</w:t>
            </w:r>
            <w:r w:rsidR="001A24F2" w:rsidRPr="006A3CCB">
              <w:rPr>
                <w:b/>
                <w:bCs/>
                <w:sz w:val="24"/>
                <w:szCs w:val="24"/>
              </w:rPr>
              <w:t>mail</w:t>
            </w:r>
            <w:r w:rsidR="001A24F2" w:rsidRPr="006A3CCB">
              <w:rPr>
                <w:sz w:val="24"/>
                <w:szCs w:val="24"/>
              </w:rPr>
              <w:t>:</w:t>
            </w:r>
            <w:r w:rsidR="00940A35" w:rsidRPr="006A3CCB">
              <w:rPr>
                <w:sz w:val="24"/>
                <w:szCs w:val="24"/>
              </w:rPr>
              <w:tab/>
            </w:r>
            <w:hyperlink r:id="rId14" w:history="1">
              <w:r w:rsidR="00851168" w:rsidRPr="006A3CCB">
                <w:rPr>
                  <w:rStyle w:val="Hyperlink"/>
                  <w:szCs w:val="24"/>
                </w:rPr>
                <w:t>consultations@lgirs.wa.gov.au</w:t>
              </w:r>
            </w:hyperlink>
            <w:r w:rsidR="00C30E41">
              <w:t xml:space="preserve"> </w:t>
            </w:r>
          </w:p>
        </w:tc>
      </w:tr>
    </w:tbl>
    <w:p w14:paraId="654D2372" w14:textId="2E6E87F4" w:rsidR="001A24F2" w:rsidRPr="002E5993" w:rsidRDefault="001A24F2" w:rsidP="0019309F">
      <w:pPr>
        <w:pStyle w:val="Caption"/>
        <w:rPr>
          <w:sz w:val="24"/>
          <w:szCs w:val="24"/>
        </w:rPr>
      </w:pPr>
      <w:r w:rsidRPr="002E5993">
        <w:rPr>
          <w:sz w:val="24"/>
          <w:szCs w:val="24"/>
        </w:rPr>
        <w:t xml:space="preserve">Respond to a brief survey </w:t>
      </w:r>
    </w:p>
    <w:p w14:paraId="4F6D0AB3" w14:textId="38F28E54" w:rsidR="00994B03" w:rsidRDefault="001A24F2" w:rsidP="0019309F">
      <w:pPr>
        <w:pStyle w:val="BodyText"/>
        <w:jc w:val="left"/>
      </w:pPr>
      <w:r w:rsidRPr="00140CFC">
        <w:t>In addition</w:t>
      </w:r>
      <w:r w:rsidR="000A7E0B">
        <w:t xml:space="preserve"> to</w:t>
      </w:r>
      <w:r w:rsidRPr="00140CFC">
        <w:t xml:space="preserve">, </w:t>
      </w:r>
      <w:r w:rsidR="00841A36">
        <w:t xml:space="preserve">or </w:t>
      </w:r>
      <w:r w:rsidR="006B67ED">
        <w:t>instead of</w:t>
      </w:r>
      <w:r w:rsidR="000A7E0B">
        <w:t>,</w:t>
      </w:r>
      <w:r w:rsidR="00841A36">
        <w:t xml:space="preserve"> making a written submission, </w:t>
      </w:r>
      <w:r w:rsidRPr="00140CFC">
        <w:t xml:space="preserve">you are invited to respond to a </w:t>
      </w:r>
      <w:hyperlink r:id="rId15" w:history="1">
        <w:r w:rsidRPr="002145A3">
          <w:rPr>
            <w:rStyle w:val="Hyperlink"/>
          </w:rPr>
          <w:t xml:space="preserve">short </w:t>
        </w:r>
        <w:r w:rsidR="00255880" w:rsidRPr="002145A3">
          <w:rPr>
            <w:rStyle w:val="Hyperlink"/>
          </w:rPr>
          <w:t xml:space="preserve">online </w:t>
        </w:r>
        <w:r w:rsidRPr="002145A3">
          <w:rPr>
            <w:rStyle w:val="Hyperlink"/>
          </w:rPr>
          <w:t>survey</w:t>
        </w:r>
      </w:hyperlink>
      <w:r w:rsidR="002145A3">
        <w:t>.</w:t>
      </w:r>
    </w:p>
    <w:p w14:paraId="00B53355" w14:textId="3A5C2059" w:rsidR="001A24F2" w:rsidRPr="002E5993" w:rsidRDefault="001A24F2" w:rsidP="0019309F">
      <w:pPr>
        <w:pStyle w:val="Caption"/>
        <w:rPr>
          <w:sz w:val="24"/>
          <w:szCs w:val="24"/>
        </w:rPr>
      </w:pPr>
      <w:r w:rsidRPr="002E5993">
        <w:rPr>
          <w:sz w:val="24"/>
          <w:szCs w:val="24"/>
        </w:rPr>
        <w:t xml:space="preserve">Information provided may become public </w:t>
      </w:r>
    </w:p>
    <w:p w14:paraId="298E9B74" w14:textId="5284D03A" w:rsidR="000A7E0B" w:rsidRDefault="001A24F2" w:rsidP="0019309F">
      <w:pPr>
        <w:pStyle w:val="BodyText"/>
        <w:jc w:val="left"/>
      </w:pPr>
      <w:r w:rsidRPr="00140CFC">
        <w:t xml:space="preserve">After the closing date, all </w:t>
      </w:r>
      <w:r w:rsidR="000D21E8">
        <w:t xml:space="preserve">submissions </w:t>
      </w:r>
      <w:r w:rsidRPr="00140CFC">
        <w:t xml:space="preserve">received may be </w:t>
      </w:r>
      <w:r w:rsidR="006B67ED">
        <w:t>published</w:t>
      </w:r>
      <w:r w:rsidRPr="00140CFC">
        <w:t xml:space="preserve"> o</w:t>
      </w:r>
      <w:r w:rsidR="00977CB7">
        <w:t>n</w:t>
      </w:r>
      <w:r w:rsidR="000A7E0B">
        <w:t xml:space="preserve"> the</w:t>
      </w:r>
      <w:r w:rsidRPr="00140CFC">
        <w:t xml:space="preserve"> </w:t>
      </w:r>
      <w:r w:rsidR="00225F04">
        <w:t xml:space="preserve">LGIRS </w:t>
      </w:r>
      <w:hyperlink r:id="rId16" w:history="1">
        <w:r w:rsidRPr="002145A3">
          <w:rPr>
            <w:rStyle w:val="Hyperlink"/>
          </w:rPr>
          <w:t>Consumer Protection website</w:t>
        </w:r>
      </w:hyperlink>
      <w:r w:rsidRPr="00B23C32">
        <w:t>.</w:t>
      </w:r>
    </w:p>
    <w:p w14:paraId="7930C29C" w14:textId="16E25DEB" w:rsidR="00841A36" w:rsidRDefault="006B67ED" w:rsidP="0019309F">
      <w:pPr>
        <w:pStyle w:val="BodyText"/>
        <w:jc w:val="left"/>
      </w:pPr>
      <w:r>
        <w:t>As</w:t>
      </w:r>
      <w:r w:rsidR="001A24F2" w:rsidRPr="00140CFC">
        <w:t xml:space="preserve"> your feedback forms part of a public consultation process, the </w:t>
      </w:r>
      <w:r w:rsidR="0037778B">
        <w:t xml:space="preserve">State </w:t>
      </w:r>
      <w:r w:rsidR="001A24F2" w:rsidRPr="00140CFC">
        <w:t>Government may quote from your comments in future publications</w:t>
      </w:r>
      <w:r w:rsidR="000A7E0B">
        <w:t xml:space="preserve"> including the consultation report</w:t>
      </w:r>
      <w:r w:rsidR="001A24F2" w:rsidRPr="00140CFC">
        <w:t xml:space="preserve">. If you prefer </w:t>
      </w:r>
      <w:r w:rsidR="00841A36">
        <w:t xml:space="preserve">that </w:t>
      </w:r>
      <w:r w:rsidR="001A24F2" w:rsidRPr="00140CFC">
        <w:t xml:space="preserve">your name </w:t>
      </w:r>
      <w:r w:rsidR="00841A36">
        <w:t xml:space="preserve">or your submission </w:t>
      </w:r>
      <w:r w:rsidR="00364677">
        <w:t>is</w:t>
      </w:r>
      <w:r w:rsidR="00841A36">
        <w:t xml:space="preserve"> not published,</w:t>
      </w:r>
      <w:r w:rsidR="001A24F2" w:rsidRPr="00140CFC">
        <w:t xml:space="preserve"> please indicate this in your submission.</w:t>
      </w:r>
    </w:p>
    <w:p w14:paraId="677AD104" w14:textId="039BF083" w:rsidR="006A3CCB" w:rsidRDefault="006B67ED" w:rsidP="00DD22CE">
      <w:pPr>
        <w:pStyle w:val="BodyText"/>
        <w:jc w:val="left"/>
      </w:pPr>
      <w:r>
        <w:t>A</w:t>
      </w:r>
      <w:r w:rsidR="001A24F2" w:rsidRPr="00140CFC">
        <w:t xml:space="preserve">ll submissions made in response to this paper will be subject to freedom of </w:t>
      </w:r>
      <w:r w:rsidR="001A24F2" w:rsidRPr="004758BA">
        <w:t>information requests</w:t>
      </w:r>
      <w:r w:rsidRPr="004758BA">
        <w:t>.</w:t>
      </w:r>
      <w:r w:rsidR="00C30E41">
        <w:t xml:space="preserve"> </w:t>
      </w:r>
      <w:r w:rsidRPr="004758BA">
        <w:t xml:space="preserve">Even if you indicate that you do not want your submission published, </w:t>
      </w:r>
      <w:r w:rsidR="00841A36" w:rsidRPr="004758BA">
        <w:t xml:space="preserve">it is not possible for </w:t>
      </w:r>
      <w:r w:rsidR="00225F04" w:rsidRPr="004758BA">
        <w:t>LGIRS</w:t>
      </w:r>
      <w:r w:rsidR="00841A36" w:rsidRPr="004758BA">
        <w:t xml:space="preserve"> to guarantee that </w:t>
      </w:r>
      <w:r w:rsidR="000A7E0B" w:rsidRPr="004758BA">
        <w:t>it</w:t>
      </w:r>
      <w:r w:rsidR="00841A36" w:rsidRPr="004758BA">
        <w:t xml:space="preserve"> will not be released</w:t>
      </w:r>
      <w:r w:rsidR="00364677" w:rsidRPr="004758BA">
        <w:t xml:space="preserve">. </w:t>
      </w:r>
      <w:r w:rsidR="00841A36" w:rsidRPr="004758BA">
        <w:t>P</w:t>
      </w:r>
      <w:r w:rsidR="001A24F2" w:rsidRPr="004758BA">
        <w:t>lease do not include any personal</w:t>
      </w:r>
      <w:r w:rsidR="001A24F2" w:rsidRPr="00140CFC">
        <w:t xml:space="preserve"> or confidential information that you do not wish to become publicly available.</w:t>
      </w:r>
      <w:bookmarkStart w:id="13" w:name="_Toc219884858"/>
      <w:r w:rsidR="006A3CCB">
        <w:br w:type="page"/>
      </w:r>
    </w:p>
    <w:p w14:paraId="52426AD1" w14:textId="6A415585" w:rsidR="000E093A" w:rsidRDefault="001A24F2" w:rsidP="0019309F">
      <w:pPr>
        <w:pStyle w:val="Heading1"/>
        <w:numPr>
          <w:ilvl w:val="0"/>
          <w:numId w:val="11"/>
        </w:numPr>
      </w:pPr>
      <w:r>
        <w:lastRenderedPageBreak/>
        <w:t>Key issues</w:t>
      </w:r>
      <w:bookmarkEnd w:id="13"/>
    </w:p>
    <w:p w14:paraId="733D8629" w14:textId="1EAA967C" w:rsidR="003D5FCA" w:rsidRDefault="00225F04" w:rsidP="0019309F">
      <w:pPr>
        <w:pStyle w:val="BodyText"/>
        <w:jc w:val="left"/>
      </w:pPr>
      <w:r>
        <w:t>LGIRS</w:t>
      </w:r>
      <w:r w:rsidR="00DD705F">
        <w:t xml:space="preserve"> </w:t>
      </w:r>
      <w:r w:rsidR="00AE692C">
        <w:t xml:space="preserve">seeks </w:t>
      </w:r>
      <w:r w:rsidR="00DD705F">
        <w:t>submissions from stakeholders to address the following key issues</w:t>
      </w:r>
      <w:r w:rsidR="00AE692C">
        <w:t>:</w:t>
      </w:r>
    </w:p>
    <w:p w14:paraId="637A7397" w14:textId="28E6C366" w:rsidR="00765157" w:rsidRPr="00C93E88" w:rsidRDefault="00765157" w:rsidP="0019309F">
      <w:pPr>
        <w:pStyle w:val="BodyText"/>
        <w:jc w:val="left"/>
      </w:pPr>
      <w:r w:rsidRPr="00765157">
        <w:rPr>
          <w:b/>
          <w:bCs/>
        </w:rPr>
        <w:t>Table 1:</w:t>
      </w:r>
      <w:r w:rsidRPr="00765157">
        <w:t xml:space="preserve"> Preliminary summary of park issues</w:t>
      </w:r>
      <w:r>
        <w:t xml:space="preserve"> </w:t>
      </w:r>
    </w:p>
    <w:tbl>
      <w:tblPr>
        <w:tblStyle w:val="TableGridLight"/>
        <w:tblW w:w="0" w:type="auto"/>
        <w:tblLook w:val="04A0" w:firstRow="1" w:lastRow="0" w:firstColumn="1" w:lastColumn="0" w:noHBand="0" w:noVBand="1"/>
        <w:tblDescription w:val="Table example"/>
      </w:tblPr>
      <w:tblGrid>
        <w:gridCol w:w="1555"/>
        <w:gridCol w:w="7455"/>
      </w:tblGrid>
      <w:tr w:rsidR="00845AAD" w:rsidRPr="00F71677" w14:paraId="3D24FABC" w14:textId="77777777" w:rsidTr="00AF37EF">
        <w:trPr>
          <w:trHeight w:val="567"/>
          <w:tblHeader/>
        </w:trPr>
        <w:tc>
          <w:tcPr>
            <w:tcW w:w="1555" w:type="dxa"/>
            <w:shd w:val="clear" w:color="auto" w:fill="F2F2F2" w:themeFill="background2" w:themeFillShade="F2"/>
          </w:tcPr>
          <w:p w14:paraId="152271B6" w14:textId="6982F4C1" w:rsidR="00845AAD" w:rsidRPr="00F71677" w:rsidRDefault="00845AAD" w:rsidP="0000121B">
            <w:pPr>
              <w:pStyle w:val="TableHeading"/>
            </w:pPr>
          </w:p>
        </w:tc>
        <w:tc>
          <w:tcPr>
            <w:tcW w:w="7455" w:type="dxa"/>
            <w:shd w:val="clear" w:color="auto" w:fill="F2F2F2" w:themeFill="background2" w:themeFillShade="F2"/>
          </w:tcPr>
          <w:p w14:paraId="65710DA2" w14:textId="37719EAC" w:rsidR="00845AAD" w:rsidRPr="00F71677" w:rsidRDefault="00845AAD" w:rsidP="0000121B">
            <w:pPr>
              <w:pStyle w:val="TableHeading"/>
            </w:pPr>
            <w:r w:rsidRPr="00F71677">
              <w:t xml:space="preserve">Issue </w:t>
            </w:r>
          </w:p>
        </w:tc>
      </w:tr>
      <w:tr w:rsidR="00845AAD" w:rsidRPr="00F71677" w14:paraId="3950ED7A" w14:textId="77777777" w:rsidTr="00AF37EF">
        <w:trPr>
          <w:trHeight w:val="567"/>
        </w:trPr>
        <w:tc>
          <w:tcPr>
            <w:tcW w:w="1555" w:type="dxa"/>
          </w:tcPr>
          <w:p w14:paraId="4EB3D3F0" w14:textId="0534C98F" w:rsidR="00845AAD" w:rsidRPr="008A6DB0" w:rsidRDefault="005D5FD9" w:rsidP="0019309F">
            <w:pPr>
              <w:pStyle w:val="TableContent"/>
              <w:spacing w:before="120" w:after="120"/>
              <w:rPr>
                <w:b/>
                <w:bCs/>
              </w:rPr>
            </w:pPr>
            <w:r w:rsidRPr="008A6DB0">
              <w:rPr>
                <w:b/>
                <w:bCs/>
              </w:rPr>
              <w:t xml:space="preserve">Prior to </w:t>
            </w:r>
            <w:r w:rsidR="00E56857" w:rsidRPr="008A6DB0">
              <w:rPr>
                <w:b/>
                <w:bCs/>
              </w:rPr>
              <w:t>living</w:t>
            </w:r>
            <w:r w:rsidR="00886618" w:rsidRPr="008A6DB0">
              <w:rPr>
                <w:b/>
                <w:bCs/>
              </w:rPr>
              <w:t xml:space="preserve"> in</w:t>
            </w:r>
            <w:r w:rsidRPr="008A6DB0">
              <w:rPr>
                <w:b/>
                <w:bCs/>
              </w:rPr>
              <w:t xml:space="preserve"> a park</w:t>
            </w:r>
          </w:p>
        </w:tc>
        <w:tc>
          <w:tcPr>
            <w:tcW w:w="7455" w:type="dxa"/>
          </w:tcPr>
          <w:p w14:paraId="068FE83B" w14:textId="0D31626F" w:rsidR="00F71677" w:rsidRDefault="000B7228" w:rsidP="0019309F">
            <w:pPr>
              <w:pStyle w:val="Bullet1"/>
              <w:jc w:val="left"/>
            </w:pPr>
            <w:r>
              <w:t>Adequacy and effectiveness of d</w:t>
            </w:r>
            <w:r w:rsidR="00F71677" w:rsidRPr="002B390A">
              <w:t>isclosure material provided by operators to prospective long-stay tenants</w:t>
            </w:r>
            <w:r>
              <w:t>.</w:t>
            </w:r>
          </w:p>
          <w:p w14:paraId="15501A40" w14:textId="2265FA54" w:rsidR="000F6577" w:rsidRPr="002B390A" w:rsidRDefault="000F6577" w:rsidP="0019309F">
            <w:pPr>
              <w:pStyle w:val="Bullet1"/>
              <w:jc w:val="left"/>
            </w:pPr>
            <w:r>
              <w:t>How information is collected and managed during the application process.</w:t>
            </w:r>
          </w:p>
          <w:p w14:paraId="63D68FA1" w14:textId="5CFDB54D" w:rsidR="00845AAD" w:rsidRPr="002B390A" w:rsidRDefault="000B7228" w:rsidP="0019309F">
            <w:pPr>
              <w:pStyle w:val="Bullet1"/>
              <w:jc w:val="left"/>
            </w:pPr>
            <w:r>
              <w:t>Whether m</w:t>
            </w:r>
            <w:r w:rsidR="00F71677" w:rsidRPr="002B390A">
              <w:t>andatory forms and agreements require updating</w:t>
            </w:r>
            <w:r w:rsidR="00D773E8">
              <w:t>.</w:t>
            </w:r>
          </w:p>
        </w:tc>
      </w:tr>
      <w:tr w:rsidR="00845AAD" w:rsidRPr="00F71677" w14:paraId="41001EB9" w14:textId="77777777" w:rsidTr="00AF37EF">
        <w:trPr>
          <w:trHeight w:val="567"/>
        </w:trPr>
        <w:tc>
          <w:tcPr>
            <w:tcW w:w="1555" w:type="dxa"/>
          </w:tcPr>
          <w:p w14:paraId="70B340ED" w14:textId="692FFD8C" w:rsidR="00845AAD" w:rsidRPr="008A6DB0" w:rsidRDefault="005D5FD9" w:rsidP="0019309F">
            <w:pPr>
              <w:pStyle w:val="TableContent"/>
              <w:spacing w:before="120" w:after="120"/>
              <w:rPr>
                <w:b/>
                <w:bCs/>
              </w:rPr>
            </w:pPr>
            <w:r w:rsidRPr="008A6DB0">
              <w:rPr>
                <w:b/>
                <w:bCs/>
              </w:rPr>
              <w:t>Living in a park</w:t>
            </w:r>
          </w:p>
        </w:tc>
        <w:tc>
          <w:tcPr>
            <w:tcW w:w="7455" w:type="dxa"/>
          </w:tcPr>
          <w:p w14:paraId="5B0388BF" w14:textId="306BF051" w:rsidR="00FB6A60" w:rsidRPr="002B390A" w:rsidRDefault="000B7228" w:rsidP="0019309F">
            <w:pPr>
              <w:pStyle w:val="Bullet1"/>
              <w:jc w:val="left"/>
            </w:pPr>
            <w:r>
              <w:t xml:space="preserve">Options </w:t>
            </w:r>
            <w:r w:rsidR="00841A36">
              <w:t xml:space="preserve">for </w:t>
            </w:r>
            <w:r>
              <w:t>bett</w:t>
            </w:r>
            <w:r w:rsidR="00366FEA">
              <w:t xml:space="preserve">er </w:t>
            </w:r>
            <w:r w:rsidR="00841A36">
              <w:t>m</w:t>
            </w:r>
            <w:r w:rsidR="00FB6A60" w:rsidRPr="002B390A">
              <w:t xml:space="preserve">anaging certain </w:t>
            </w:r>
            <w:r w:rsidR="00366FEA">
              <w:t xml:space="preserve">problem </w:t>
            </w:r>
            <w:r w:rsidR="00FB6A60" w:rsidRPr="002B390A">
              <w:t>behaviour by tenants and operators</w:t>
            </w:r>
            <w:r w:rsidR="00D773E8">
              <w:t>.</w:t>
            </w:r>
          </w:p>
          <w:p w14:paraId="31A1ECFE" w14:textId="57F49B16" w:rsidR="00FB6A60" w:rsidRPr="002B390A" w:rsidRDefault="00366FEA" w:rsidP="0019309F">
            <w:pPr>
              <w:pStyle w:val="Bullet1"/>
              <w:jc w:val="left"/>
            </w:pPr>
            <w:r>
              <w:t xml:space="preserve">Whether </w:t>
            </w:r>
            <w:r w:rsidR="00FB6A60" w:rsidRPr="002B390A">
              <w:t>dispute resolution pathways are known and effective</w:t>
            </w:r>
            <w:r w:rsidR="00D773E8">
              <w:t>.</w:t>
            </w:r>
          </w:p>
          <w:p w14:paraId="27CEBB9C" w14:textId="6325F3C8" w:rsidR="00845AAD" w:rsidRPr="002B390A" w:rsidRDefault="00366FEA" w:rsidP="0019309F">
            <w:pPr>
              <w:pStyle w:val="Bullet1"/>
              <w:jc w:val="left"/>
            </w:pPr>
            <w:r>
              <w:t>Level of clarity and t</w:t>
            </w:r>
            <w:r w:rsidR="00FB6A60" w:rsidRPr="002B390A">
              <w:t xml:space="preserve">ransparency around </w:t>
            </w:r>
            <w:r>
              <w:t>rent increases and other costs and charges</w:t>
            </w:r>
            <w:r w:rsidR="00D773E8">
              <w:t>.</w:t>
            </w:r>
          </w:p>
        </w:tc>
      </w:tr>
      <w:tr w:rsidR="00845AAD" w:rsidRPr="00F71677" w14:paraId="3BA845F6" w14:textId="77777777" w:rsidTr="00AF37EF">
        <w:trPr>
          <w:trHeight w:val="1730"/>
        </w:trPr>
        <w:tc>
          <w:tcPr>
            <w:tcW w:w="1555" w:type="dxa"/>
          </w:tcPr>
          <w:p w14:paraId="3CA76AE3" w14:textId="739B774E" w:rsidR="00845AAD" w:rsidRPr="008A6DB0" w:rsidRDefault="005D5FD9" w:rsidP="0019309F">
            <w:pPr>
              <w:pStyle w:val="TableContent"/>
              <w:spacing w:before="120" w:after="120"/>
              <w:rPr>
                <w:b/>
                <w:bCs/>
              </w:rPr>
            </w:pPr>
            <w:r w:rsidRPr="008A6DB0">
              <w:rPr>
                <w:b/>
                <w:bCs/>
              </w:rPr>
              <w:t>Leaving a park</w:t>
            </w:r>
          </w:p>
        </w:tc>
        <w:tc>
          <w:tcPr>
            <w:tcW w:w="7455" w:type="dxa"/>
          </w:tcPr>
          <w:p w14:paraId="2681F550" w14:textId="26AF6360" w:rsidR="002B390A" w:rsidRPr="002B390A" w:rsidRDefault="00366FEA" w:rsidP="0019309F">
            <w:pPr>
              <w:pStyle w:val="Bullet1"/>
              <w:jc w:val="left"/>
            </w:pPr>
            <w:r>
              <w:t>Current a</w:t>
            </w:r>
            <w:r w:rsidR="002B390A" w:rsidRPr="002B390A">
              <w:t>wareness of grounds for termination and notice requirements</w:t>
            </w:r>
            <w:r w:rsidR="00D773E8">
              <w:t>.</w:t>
            </w:r>
          </w:p>
          <w:p w14:paraId="62ACB73B" w14:textId="463E2CF5" w:rsidR="002B390A" w:rsidRPr="002B390A" w:rsidRDefault="00366FEA" w:rsidP="0019309F">
            <w:pPr>
              <w:pStyle w:val="Bullet1"/>
              <w:jc w:val="left"/>
            </w:pPr>
            <w:r>
              <w:t xml:space="preserve">Suitability of current </w:t>
            </w:r>
            <w:r w:rsidR="002B390A" w:rsidRPr="002B390A">
              <w:t xml:space="preserve">protections for tenants </w:t>
            </w:r>
            <w:r>
              <w:t xml:space="preserve">who need to </w:t>
            </w:r>
            <w:r w:rsidR="002B390A" w:rsidRPr="002B390A">
              <w:t xml:space="preserve">relocate when a park is sold, </w:t>
            </w:r>
            <w:r>
              <w:t>re</w:t>
            </w:r>
            <w:r w:rsidR="002B390A" w:rsidRPr="002B390A">
              <w:t>developed or closed</w:t>
            </w:r>
            <w:r w:rsidR="00D773E8">
              <w:t>.</w:t>
            </w:r>
          </w:p>
          <w:p w14:paraId="7DBC4B78" w14:textId="731AF753" w:rsidR="00845AAD" w:rsidRPr="002B390A" w:rsidRDefault="00366FEA" w:rsidP="0019309F">
            <w:pPr>
              <w:pStyle w:val="Bullet1"/>
              <w:jc w:val="left"/>
            </w:pPr>
            <w:r>
              <w:t>Whether exit fees are fair and transparent</w:t>
            </w:r>
            <w:r w:rsidR="00D773E8">
              <w:t>.</w:t>
            </w:r>
          </w:p>
        </w:tc>
      </w:tr>
    </w:tbl>
    <w:p w14:paraId="50322CEA" w14:textId="05725714" w:rsidR="007063F0" w:rsidRDefault="008830BF" w:rsidP="0019309F">
      <w:pPr>
        <w:pStyle w:val="BodyText"/>
        <w:jc w:val="left"/>
      </w:pPr>
      <w:bookmarkStart w:id="14" w:name="_Toc502146109"/>
      <w:r>
        <w:t xml:space="preserve">A </w:t>
      </w:r>
      <w:r w:rsidR="001F635F">
        <w:t>summary of complaints</w:t>
      </w:r>
      <w:r w:rsidR="00467DF1">
        <w:t xml:space="preserve"> received by </w:t>
      </w:r>
      <w:r w:rsidR="00225F04">
        <w:t>LGIRS</w:t>
      </w:r>
      <w:r w:rsidR="00467DF1">
        <w:t xml:space="preserve"> </w:t>
      </w:r>
      <w:r w:rsidR="00B229D9">
        <w:t xml:space="preserve">in the period 1 January 2020 </w:t>
      </w:r>
      <w:r w:rsidR="00366FEA">
        <w:t>to</w:t>
      </w:r>
      <w:r w:rsidR="00B229D9">
        <w:t xml:space="preserve"> 31</w:t>
      </w:r>
      <w:r w:rsidR="00495509">
        <w:t> </w:t>
      </w:r>
      <w:r w:rsidR="00B229D9">
        <w:t xml:space="preserve">August 2025 </w:t>
      </w:r>
      <w:r w:rsidR="00467DF1">
        <w:t>is</w:t>
      </w:r>
      <w:r w:rsidR="00977CB7">
        <w:t xml:space="preserve"> provided</w:t>
      </w:r>
      <w:r w:rsidR="00467DF1">
        <w:t xml:space="preserve"> </w:t>
      </w:r>
      <w:r w:rsidR="003C11C5">
        <w:t>below.</w:t>
      </w:r>
      <w:r w:rsidR="00495509">
        <w:t xml:space="preserve"> This information has been used to guide the issues considered in this paper. </w:t>
      </w:r>
    </w:p>
    <w:p w14:paraId="3CB17D63" w14:textId="59A51B80" w:rsidR="009268A2" w:rsidRPr="009268A2" w:rsidRDefault="009268A2" w:rsidP="0019309F">
      <w:pPr>
        <w:spacing w:after="0" w:line="240" w:lineRule="auto"/>
        <w:rPr>
          <w:rFonts w:cs="Arial"/>
          <w:szCs w:val="22"/>
          <w:lang w:val="en-GB"/>
        </w:rPr>
      </w:pPr>
      <w:r>
        <w:br w:type="page"/>
      </w:r>
    </w:p>
    <w:p w14:paraId="116EE5A9" w14:textId="325D3470" w:rsidR="00C93E88" w:rsidRPr="00021701" w:rsidRDefault="00C93E88" w:rsidP="0019309F">
      <w:pPr>
        <w:pStyle w:val="BodyText"/>
        <w:jc w:val="left"/>
      </w:pPr>
      <w:r w:rsidRPr="00021701">
        <w:rPr>
          <w:b/>
          <w:bCs/>
        </w:rPr>
        <w:lastRenderedPageBreak/>
        <w:t>Table 2</w:t>
      </w:r>
      <w:r w:rsidRPr="00021701">
        <w:t xml:space="preserve">: </w:t>
      </w:r>
      <w:r w:rsidR="004A56D0" w:rsidRPr="00021701">
        <w:t>Summary of c</w:t>
      </w:r>
      <w:r w:rsidRPr="00021701">
        <w:t xml:space="preserve">omplaint data received by </w:t>
      </w:r>
      <w:r w:rsidR="00225F04">
        <w:t>LGIRS</w:t>
      </w:r>
      <w:r w:rsidRPr="00021701">
        <w:t xml:space="preserve"> (1 Jan 2020 – 31 Aug 2025)</w:t>
      </w:r>
    </w:p>
    <w:tbl>
      <w:tblPr>
        <w:tblStyle w:val="TableGridLight"/>
        <w:tblW w:w="9634" w:type="dxa"/>
        <w:tblLook w:val="04A0" w:firstRow="1" w:lastRow="0" w:firstColumn="1" w:lastColumn="0" w:noHBand="0" w:noVBand="1"/>
        <w:tblDescription w:val="Table example"/>
      </w:tblPr>
      <w:tblGrid>
        <w:gridCol w:w="6658"/>
        <w:gridCol w:w="2976"/>
      </w:tblGrid>
      <w:tr w:rsidR="00B229D9" w14:paraId="1531A2AB" w14:textId="77777777" w:rsidTr="00940A35">
        <w:trPr>
          <w:cantSplit/>
          <w:tblHeader/>
        </w:trPr>
        <w:tc>
          <w:tcPr>
            <w:tcW w:w="6658" w:type="dxa"/>
            <w:shd w:val="clear" w:color="auto" w:fill="F2F2F2" w:themeFill="background2" w:themeFillShade="F2"/>
            <w:vAlign w:val="center"/>
          </w:tcPr>
          <w:p w14:paraId="15C934D4" w14:textId="77777777" w:rsidR="00B229D9" w:rsidRDefault="00B229D9" w:rsidP="0000121B">
            <w:pPr>
              <w:pStyle w:val="TableHeading"/>
            </w:pPr>
            <w:r>
              <w:t>Issue</w:t>
            </w:r>
          </w:p>
        </w:tc>
        <w:tc>
          <w:tcPr>
            <w:tcW w:w="2976" w:type="dxa"/>
            <w:shd w:val="clear" w:color="auto" w:fill="F2F2F2" w:themeFill="background2" w:themeFillShade="F2"/>
            <w:vAlign w:val="center"/>
          </w:tcPr>
          <w:p w14:paraId="06FC395F" w14:textId="40AF76E4" w:rsidR="00B229D9" w:rsidRPr="00240EE5" w:rsidRDefault="00B229D9" w:rsidP="0000121B">
            <w:pPr>
              <w:pStyle w:val="TableHeading"/>
            </w:pPr>
            <w:r>
              <w:t>Number</w:t>
            </w:r>
          </w:p>
        </w:tc>
      </w:tr>
      <w:tr w:rsidR="00B229D9" w14:paraId="7B546641" w14:textId="77777777" w:rsidTr="00940A35">
        <w:trPr>
          <w:cantSplit/>
        </w:trPr>
        <w:tc>
          <w:tcPr>
            <w:tcW w:w="6658" w:type="dxa"/>
            <w:vAlign w:val="center"/>
          </w:tcPr>
          <w:p w14:paraId="2C3A3398" w14:textId="38BFECC4" w:rsidR="00B229D9" w:rsidRPr="008A6DB0" w:rsidRDefault="00B229D9" w:rsidP="0019309F">
            <w:pPr>
              <w:pStyle w:val="TableContent"/>
              <w:keepNext/>
              <w:keepLines/>
              <w:rPr>
                <w:b/>
                <w:bCs/>
              </w:rPr>
            </w:pPr>
            <w:r w:rsidRPr="008A6DB0">
              <w:rPr>
                <w:b/>
                <w:bCs/>
              </w:rPr>
              <w:t>Termination</w:t>
            </w:r>
          </w:p>
        </w:tc>
        <w:tc>
          <w:tcPr>
            <w:tcW w:w="2976" w:type="dxa"/>
            <w:vAlign w:val="center"/>
          </w:tcPr>
          <w:p w14:paraId="4FDA0DE8" w14:textId="77777777" w:rsidR="00B229D9" w:rsidRDefault="00B229D9" w:rsidP="00B23C32">
            <w:pPr>
              <w:pStyle w:val="TableContent"/>
              <w:keepNext/>
              <w:keepLines/>
              <w:jc w:val="center"/>
            </w:pPr>
            <w:r>
              <w:t>55</w:t>
            </w:r>
          </w:p>
        </w:tc>
      </w:tr>
      <w:tr w:rsidR="00B229D9" w14:paraId="7FA7703C" w14:textId="77777777" w:rsidTr="00940A35">
        <w:trPr>
          <w:cantSplit/>
        </w:trPr>
        <w:tc>
          <w:tcPr>
            <w:tcW w:w="6658" w:type="dxa"/>
            <w:vAlign w:val="center"/>
          </w:tcPr>
          <w:p w14:paraId="6FE3B7CF" w14:textId="77777777" w:rsidR="00B229D9" w:rsidRPr="008A6DB0" w:rsidRDefault="00B229D9" w:rsidP="0019309F">
            <w:pPr>
              <w:pStyle w:val="TableContent"/>
              <w:keepNext/>
              <w:keepLines/>
              <w:rPr>
                <w:b/>
                <w:bCs/>
              </w:rPr>
            </w:pPr>
            <w:r w:rsidRPr="008A6DB0">
              <w:rPr>
                <w:b/>
                <w:bCs/>
              </w:rPr>
              <w:t>Behaviour by operators or tenants</w:t>
            </w:r>
          </w:p>
        </w:tc>
        <w:tc>
          <w:tcPr>
            <w:tcW w:w="2976" w:type="dxa"/>
            <w:vAlign w:val="center"/>
          </w:tcPr>
          <w:p w14:paraId="0E0F6522" w14:textId="77777777" w:rsidR="00B229D9" w:rsidRDefault="00B229D9" w:rsidP="00B23C32">
            <w:pPr>
              <w:pStyle w:val="TableContent"/>
              <w:keepNext/>
              <w:keepLines/>
              <w:jc w:val="center"/>
            </w:pPr>
            <w:r>
              <w:t>44</w:t>
            </w:r>
          </w:p>
        </w:tc>
      </w:tr>
      <w:tr w:rsidR="00B229D9" w14:paraId="56A5696B" w14:textId="77777777" w:rsidTr="00940A35">
        <w:trPr>
          <w:cantSplit/>
        </w:trPr>
        <w:tc>
          <w:tcPr>
            <w:tcW w:w="6658" w:type="dxa"/>
            <w:vAlign w:val="center"/>
          </w:tcPr>
          <w:p w14:paraId="5589B86A" w14:textId="77777777" w:rsidR="00B229D9" w:rsidRPr="008A6DB0" w:rsidRDefault="00B229D9" w:rsidP="0019309F">
            <w:pPr>
              <w:pStyle w:val="TableContent"/>
              <w:keepNext/>
              <w:keepLines/>
              <w:rPr>
                <w:b/>
                <w:bCs/>
              </w:rPr>
            </w:pPr>
            <w:r w:rsidRPr="008A6DB0">
              <w:rPr>
                <w:b/>
                <w:bCs/>
              </w:rPr>
              <w:t>Rent</w:t>
            </w:r>
          </w:p>
        </w:tc>
        <w:tc>
          <w:tcPr>
            <w:tcW w:w="2976" w:type="dxa"/>
            <w:vAlign w:val="center"/>
          </w:tcPr>
          <w:p w14:paraId="1F7495D9" w14:textId="77777777" w:rsidR="00B229D9" w:rsidRDefault="00B229D9" w:rsidP="00B23C32">
            <w:pPr>
              <w:pStyle w:val="TableContent"/>
              <w:keepNext/>
              <w:keepLines/>
              <w:jc w:val="center"/>
            </w:pPr>
            <w:r>
              <w:t>34</w:t>
            </w:r>
          </w:p>
        </w:tc>
      </w:tr>
      <w:tr w:rsidR="00B229D9" w14:paraId="4A620DBD" w14:textId="77777777" w:rsidTr="00940A35">
        <w:trPr>
          <w:cantSplit/>
        </w:trPr>
        <w:tc>
          <w:tcPr>
            <w:tcW w:w="6658" w:type="dxa"/>
            <w:vAlign w:val="center"/>
          </w:tcPr>
          <w:p w14:paraId="22CA0191" w14:textId="77777777" w:rsidR="00B229D9" w:rsidRPr="008A6DB0" w:rsidRDefault="00B229D9" w:rsidP="0019309F">
            <w:pPr>
              <w:pStyle w:val="TableContent"/>
              <w:keepNext/>
              <w:keepLines/>
              <w:rPr>
                <w:b/>
                <w:bCs/>
              </w:rPr>
            </w:pPr>
            <w:r w:rsidRPr="008A6DB0">
              <w:rPr>
                <w:b/>
                <w:bCs/>
              </w:rPr>
              <w:t>Electricity</w:t>
            </w:r>
          </w:p>
        </w:tc>
        <w:tc>
          <w:tcPr>
            <w:tcW w:w="2976" w:type="dxa"/>
            <w:vAlign w:val="center"/>
          </w:tcPr>
          <w:p w14:paraId="3AAAED65" w14:textId="77777777" w:rsidR="00B229D9" w:rsidRDefault="00B229D9" w:rsidP="00B23C32">
            <w:pPr>
              <w:pStyle w:val="TableContent"/>
              <w:keepNext/>
              <w:keepLines/>
              <w:jc w:val="center"/>
            </w:pPr>
            <w:r>
              <w:t>28</w:t>
            </w:r>
          </w:p>
        </w:tc>
      </w:tr>
      <w:tr w:rsidR="00B229D9" w14:paraId="3301522B" w14:textId="77777777" w:rsidTr="00940A35">
        <w:trPr>
          <w:cantSplit/>
        </w:trPr>
        <w:tc>
          <w:tcPr>
            <w:tcW w:w="6658" w:type="dxa"/>
            <w:vAlign w:val="center"/>
          </w:tcPr>
          <w:p w14:paraId="2EB5E188" w14:textId="77777777" w:rsidR="00B229D9" w:rsidRPr="008A6DB0" w:rsidRDefault="00B229D9" w:rsidP="0019309F">
            <w:pPr>
              <w:pStyle w:val="TableContent"/>
              <w:keepNext/>
              <w:keepLines/>
              <w:rPr>
                <w:b/>
                <w:bCs/>
              </w:rPr>
            </w:pPr>
            <w:r w:rsidRPr="008A6DB0">
              <w:rPr>
                <w:b/>
                <w:bCs/>
              </w:rPr>
              <w:t>If written lease is in place</w:t>
            </w:r>
          </w:p>
        </w:tc>
        <w:tc>
          <w:tcPr>
            <w:tcW w:w="2976" w:type="dxa"/>
            <w:vAlign w:val="center"/>
          </w:tcPr>
          <w:p w14:paraId="1299D807" w14:textId="77777777" w:rsidR="00B229D9" w:rsidRDefault="00B229D9" w:rsidP="00B23C32">
            <w:pPr>
              <w:pStyle w:val="TableContent"/>
              <w:keepNext/>
              <w:keepLines/>
              <w:jc w:val="center"/>
            </w:pPr>
            <w:r>
              <w:t>21</w:t>
            </w:r>
          </w:p>
        </w:tc>
      </w:tr>
      <w:tr w:rsidR="00B229D9" w14:paraId="301F9277" w14:textId="77777777" w:rsidTr="00940A35">
        <w:trPr>
          <w:cantSplit/>
        </w:trPr>
        <w:tc>
          <w:tcPr>
            <w:tcW w:w="6658" w:type="dxa"/>
            <w:vAlign w:val="center"/>
          </w:tcPr>
          <w:p w14:paraId="54BA1C5A" w14:textId="77777777" w:rsidR="00B229D9" w:rsidRPr="008A6DB0" w:rsidRDefault="00B229D9" w:rsidP="0019309F">
            <w:pPr>
              <w:pStyle w:val="TableContent"/>
              <w:keepNext/>
              <w:keepLines/>
              <w:rPr>
                <w:b/>
                <w:bCs/>
              </w:rPr>
            </w:pPr>
            <w:r w:rsidRPr="008A6DB0">
              <w:rPr>
                <w:b/>
                <w:bCs/>
              </w:rPr>
              <w:t>Contractual term</w:t>
            </w:r>
          </w:p>
        </w:tc>
        <w:tc>
          <w:tcPr>
            <w:tcW w:w="2976" w:type="dxa"/>
            <w:vAlign w:val="center"/>
          </w:tcPr>
          <w:p w14:paraId="02DE95A5" w14:textId="77777777" w:rsidR="00B229D9" w:rsidRDefault="00B229D9" w:rsidP="00B23C32">
            <w:pPr>
              <w:pStyle w:val="TableContent"/>
              <w:keepNext/>
              <w:keepLines/>
              <w:jc w:val="center"/>
            </w:pPr>
            <w:r>
              <w:t>21</w:t>
            </w:r>
          </w:p>
        </w:tc>
      </w:tr>
      <w:tr w:rsidR="00B229D9" w14:paraId="09CAFEF1" w14:textId="77777777" w:rsidTr="00B23C32">
        <w:trPr>
          <w:cantSplit/>
          <w:trHeight w:val="70"/>
        </w:trPr>
        <w:tc>
          <w:tcPr>
            <w:tcW w:w="6658" w:type="dxa"/>
            <w:vAlign w:val="center"/>
          </w:tcPr>
          <w:p w14:paraId="4642A990" w14:textId="77777777" w:rsidR="00B229D9" w:rsidRPr="008A6DB0" w:rsidRDefault="00B229D9" w:rsidP="0019309F">
            <w:pPr>
              <w:pStyle w:val="TableContent"/>
              <w:keepNext/>
              <w:keepLines/>
              <w:rPr>
                <w:b/>
                <w:bCs/>
              </w:rPr>
            </w:pPr>
            <w:r w:rsidRPr="008A6DB0">
              <w:rPr>
                <w:b/>
                <w:bCs/>
              </w:rPr>
              <w:t>Park liaison committee</w:t>
            </w:r>
          </w:p>
        </w:tc>
        <w:tc>
          <w:tcPr>
            <w:tcW w:w="2976" w:type="dxa"/>
            <w:vAlign w:val="center"/>
          </w:tcPr>
          <w:p w14:paraId="066FCAFD" w14:textId="77777777" w:rsidR="00B229D9" w:rsidRDefault="00B229D9" w:rsidP="00B23C32">
            <w:pPr>
              <w:pStyle w:val="TableContent"/>
              <w:keepNext/>
              <w:keepLines/>
              <w:jc w:val="center"/>
            </w:pPr>
            <w:r>
              <w:t>14</w:t>
            </w:r>
          </w:p>
        </w:tc>
      </w:tr>
      <w:tr w:rsidR="004A56D0" w14:paraId="41A9DF82" w14:textId="77777777" w:rsidTr="00940A35">
        <w:trPr>
          <w:cantSplit/>
        </w:trPr>
        <w:tc>
          <w:tcPr>
            <w:tcW w:w="6658" w:type="dxa"/>
            <w:vAlign w:val="center"/>
          </w:tcPr>
          <w:p w14:paraId="35673791" w14:textId="4D0DB596" w:rsidR="004A56D0" w:rsidRDefault="004A56D0" w:rsidP="0019309F">
            <w:pPr>
              <w:pStyle w:val="TableContent"/>
              <w:keepNext/>
              <w:keepLines/>
              <w:rPr>
                <w:b/>
                <w:bCs/>
                <w:color w:val="002060"/>
              </w:rPr>
            </w:pPr>
            <w:r w:rsidRPr="004A56D0">
              <w:rPr>
                <w:b/>
                <w:bCs/>
                <w:color w:val="auto"/>
              </w:rPr>
              <w:t>Total</w:t>
            </w:r>
          </w:p>
        </w:tc>
        <w:tc>
          <w:tcPr>
            <w:tcW w:w="2976" w:type="dxa"/>
            <w:vAlign w:val="center"/>
          </w:tcPr>
          <w:p w14:paraId="53CB8493" w14:textId="17B0E24F" w:rsidR="004A56D0" w:rsidRDefault="004A56D0" w:rsidP="00B23C32">
            <w:pPr>
              <w:pStyle w:val="TableContent"/>
              <w:keepNext/>
              <w:keepLines/>
              <w:jc w:val="center"/>
            </w:pPr>
            <w:r>
              <w:t>217</w:t>
            </w:r>
          </w:p>
        </w:tc>
      </w:tr>
    </w:tbl>
    <w:p w14:paraId="78313028" w14:textId="77777777" w:rsidR="00F22479" w:rsidRDefault="00F22479" w:rsidP="0019309F">
      <w:pPr>
        <w:spacing w:after="0" w:line="240" w:lineRule="auto"/>
        <w:rPr>
          <w:rFonts w:cs="Arial"/>
        </w:rPr>
      </w:pPr>
      <w:r>
        <w:br w:type="page"/>
      </w:r>
    </w:p>
    <w:p w14:paraId="7DD2A5EE" w14:textId="3653D9C7" w:rsidR="00C13A96" w:rsidRDefault="001472FD" w:rsidP="0019309F">
      <w:pPr>
        <w:pStyle w:val="Heading1"/>
        <w:numPr>
          <w:ilvl w:val="0"/>
          <w:numId w:val="11"/>
        </w:numPr>
      </w:pPr>
      <w:bookmarkStart w:id="15" w:name="_Toc219884859"/>
      <w:r>
        <w:lastRenderedPageBreak/>
        <w:t xml:space="preserve"> </w:t>
      </w:r>
      <w:r w:rsidR="00E56857">
        <w:t xml:space="preserve">Prior to </w:t>
      </w:r>
      <w:r w:rsidR="00D773E8">
        <w:t>l</w:t>
      </w:r>
      <w:r w:rsidR="00886618">
        <w:t>iving in</w:t>
      </w:r>
      <w:r w:rsidR="00E56857">
        <w:t xml:space="preserve"> a </w:t>
      </w:r>
      <w:r w:rsidR="00D773E8">
        <w:t>p</w:t>
      </w:r>
      <w:r w:rsidR="00E56857">
        <w:t>ark</w:t>
      </w:r>
      <w:bookmarkEnd w:id="15"/>
    </w:p>
    <w:p w14:paraId="50C33D44" w14:textId="3FBB920A" w:rsidR="00225F04" w:rsidRDefault="0076001B" w:rsidP="0019309F">
      <w:pPr>
        <w:pStyle w:val="BodyText"/>
        <w:jc w:val="left"/>
      </w:pPr>
      <w:r>
        <w:t xml:space="preserve">Early consultation with industry advocates </w:t>
      </w:r>
      <w:r w:rsidR="00296F75">
        <w:t xml:space="preserve">suggests </w:t>
      </w:r>
      <w:r>
        <w:t xml:space="preserve">that long-stay tenants </w:t>
      </w:r>
      <w:r w:rsidR="00C96E30">
        <w:t xml:space="preserve">may be </w:t>
      </w:r>
      <w:r>
        <w:t xml:space="preserve">uncertain about their rights and obligations. Improved disclosure material, forms and guidance information </w:t>
      </w:r>
      <w:r w:rsidR="00296F75">
        <w:t xml:space="preserve">could </w:t>
      </w:r>
      <w:r w:rsidR="003B25F2">
        <w:t>assist in</w:t>
      </w:r>
      <w:r>
        <w:t xml:space="preserve"> educat</w:t>
      </w:r>
      <w:r w:rsidR="003B25F2">
        <w:t>ing</w:t>
      </w:r>
      <w:r>
        <w:t xml:space="preserve"> stakeholders</w:t>
      </w:r>
      <w:r w:rsidR="00296F75">
        <w:t xml:space="preserve">, </w:t>
      </w:r>
      <w:r w:rsidR="00F81A3F">
        <w:t>including</w:t>
      </w:r>
      <w:r>
        <w:t xml:space="preserve"> </w:t>
      </w:r>
      <w:r w:rsidR="00296F75">
        <w:t xml:space="preserve">when </w:t>
      </w:r>
      <w:r>
        <w:t>prospective long-stay tenants are considering entering a park</w:t>
      </w:r>
      <w:r w:rsidR="00296F75">
        <w:t xml:space="preserve">, </w:t>
      </w:r>
      <w:r w:rsidR="008B0840">
        <w:t xml:space="preserve">thereby </w:t>
      </w:r>
      <w:r w:rsidR="00296F75">
        <w:t xml:space="preserve">reducing the </w:t>
      </w:r>
      <w:r w:rsidR="00C96E30">
        <w:t xml:space="preserve">risk of disputes arising. </w:t>
      </w:r>
    </w:p>
    <w:p w14:paraId="57C67A22" w14:textId="77777777" w:rsidR="000F326C" w:rsidRPr="00356B6D" w:rsidRDefault="000F326C" w:rsidP="0019309F">
      <w:pPr>
        <w:pStyle w:val="Heading2"/>
        <w:jc w:val="left"/>
      </w:pPr>
      <w:bookmarkStart w:id="16" w:name="_Toc219884860"/>
      <w:r w:rsidRPr="00356B6D">
        <w:t>Disclosure</w:t>
      </w:r>
      <w:bookmarkEnd w:id="16"/>
    </w:p>
    <w:p w14:paraId="744849E2" w14:textId="03A64425" w:rsidR="000F326C" w:rsidRDefault="000F326C" w:rsidP="0019309F">
      <w:pPr>
        <w:pStyle w:val="BodyText"/>
        <w:jc w:val="left"/>
      </w:pPr>
      <w:r>
        <w:t xml:space="preserve">The Act requires park operators to disclose specific information to prospective long-stay tenants prior to entering </w:t>
      </w:r>
      <w:r w:rsidR="00495509">
        <w:t>a long-stay agreement</w:t>
      </w:r>
      <w:r w:rsidR="00E671DC">
        <w:t>,</w:t>
      </w:r>
      <w:r w:rsidR="00495509">
        <w:t xml:space="preserve"> </w:t>
      </w:r>
      <w:r>
        <w:t xml:space="preserve">to inform their choice of park and provide clarity on their rights and obligations. LGIRS is seeking input from stakeholders on whether </w:t>
      </w:r>
      <w:r w:rsidR="00E671DC">
        <w:t xml:space="preserve">disclosure obligations are </w:t>
      </w:r>
      <w:r w:rsidR="00495509">
        <w:t>effective, whether</w:t>
      </w:r>
      <w:r w:rsidR="00E671DC">
        <w:t xml:space="preserve"> they </w:t>
      </w:r>
      <w:r>
        <w:t>could be improved and how.</w:t>
      </w:r>
    </w:p>
    <w:p w14:paraId="144753A6" w14:textId="77777777" w:rsidR="000F326C" w:rsidRPr="002D05F0" w:rsidRDefault="000F326C" w:rsidP="0019309F">
      <w:pPr>
        <w:pStyle w:val="Heading3"/>
        <w:jc w:val="left"/>
      </w:pPr>
      <w:bookmarkStart w:id="17" w:name="_Toc219884861"/>
      <w:r w:rsidRPr="002D05F0">
        <w:t>Issues</w:t>
      </w:r>
      <w:bookmarkEnd w:id="17"/>
    </w:p>
    <w:p w14:paraId="0F60B431" w14:textId="3CFF854C" w:rsidR="000F326C" w:rsidRDefault="00495509" w:rsidP="0019309F">
      <w:pPr>
        <w:pStyle w:val="BodyText"/>
        <w:jc w:val="left"/>
      </w:pPr>
      <w:r>
        <w:t xml:space="preserve">Disclosure information should outline any risks and inform prospective long-stay tenants on key matters. </w:t>
      </w:r>
      <w:r w:rsidR="000F326C">
        <w:t xml:space="preserve">Early stakeholder feedback suggested that disclosure information could be streamlined and made more targeted and effective. </w:t>
      </w:r>
    </w:p>
    <w:p w14:paraId="0BED67B6" w14:textId="77777777" w:rsidR="000F326C" w:rsidRPr="002D05F0" w:rsidRDefault="000F326C" w:rsidP="0019309F">
      <w:pPr>
        <w:pStyle w:val="Heading3"/>
        <w:jc w:val="left"/>
      </w:pPr>
      <w:bookmarkStart w:id="18" w:name="_Toc219884862"/>
      <w:r w:rsidRPr="002D05F0">
        <w:t>Current requirements</w:t>
      </w:r>
      <w:bookmarkEnd w:id="18"/>
    </w:p>
    <w:p w14:paraId="5B2313C6" w14:textId="4D8A0B9B" w:rsidR="007901A5" w:rsidRDefault="000F326C" w:rsidP="0019309F">
      <w:pPr>
        <w:pStyle w:val="BodyText"/>
        <w:jc w:val="left"/>
      </w:pPr>
      <w:r>
        <w:t>Mandatory disclosure documents can be found on the LGIRS Consumer Protection website</w:t>
      </w:r>
      <w:r>
        <w:rPr>
          <w:rStyle w:val="FootnoteReference"/>
        </w:rPr>
        <w:footnoteReference w:id="8"/>
      </w:r>
      <w:r>
        <w:t xml:space="preserve"> and are summarised in Table 3 below. The documents are intended to </w:t>
      </w:r>
      <w:r w:rsidR="00495509">
        <w:t xml:space="preserve">provide clear information to prospective tenants and </w:t>
      </w:r>
      <w:r>
        <w:t>reduce the risk of disputes and complaints.</w:t>
      </w:r>
    </w:p>
    <w:p w14:paraId="65998FA9" w14:textId="1C1934DC" w:rsidR="000F326C" w:rsidRPr="00E267A7" w:rsidRDefault="000F326C" w:rsidP="0019309F">
      <w:pPr>
        <w:pStyle w:val="BodyText"/>
        <w:jc w:val="left"/>
      </w:pPr>
      <w:r w:rsidRPr="00765157">
        <w:rPr>
          <w:b/>
          <w:bCs/>
        </w:rPr>
        <w:t>Table 3</w:t>
      </w:r>
      <w:r w:rsidRPr="00765157">
        <w:t xml:space="preserve">: Mandatory </w:t>
      </w:r>
      <w:r w:rsidR="00D773E8">
        <w:t>d</w:t>
      </w:r>
      <w:r w:rsidRPr="00765157">
        <w:t xml:space="preserve">isclosure </w:t>
      </w:r>
      <w:r w:rsidR="00D773E8">
        <w:t>i</w:t>
      </w:r>
      <w:r w:rsidRPr="00765157">
        <w:t xml:space="preserve">nformation for </w:t>
      </w:r>
      <w:r w:rsidR="00D773E8">
        <w:t>p</w:t>
      </w:r>
      <w:r w:rsidRPr="00765157">
        <w:t xml:space="preserve">rospective </w:t>
      </w:r>
      <w:r w:rsidR="00D773E8">
        <w:t>l</w:t>
      </w:r>
      <w:r w:rsidRPr="00765157">
        <w:t>ong-</w:t>
      </w:r>
      <w:r>
        <w:t>s</w:t>
      </w:r>
      <w:r w:rsidRPr="00765157">
        <w:t xml:space="preserve">tay </w:t>
      </w:r>
      <w:r w:rsidR="00D773E8">
        <w:t>t</w:t>
      </w:r>
      <w:r w:rsidRPr="00765157">
        <w:t>enants</w:t>
      </w:r>
    </w:p>
    <w:tbl>
      <w:tblPr>
        <w:tblStyle w:val="TableGridLight"/>
        <w:tblW w:w="0" w:type="auto"/>
        <w:tblLook w:val="04A0" w:firstRow="1" w:lastRow="0" w:firstColumn="1" w:lastColumn="0" w:noHBand="0" w:noVBand="1"/>
        <w:tblDescription w:val="Table example"/>
      </w:tblPr>
      <w:tblGrid>
        <w:gridCol w:w="2059"/>
        <w:gridCol w:w="6951"/>
      </w:tblGrid>
      <w:tr w:rsidR="000F326C" w14:paraId="5ECDB82F" w14:textId="77777777" w:rsidTr="00FB4174">
        <w:trPr>
          <w:trHeight w:val="567"/>
          <w:tblHeader/>
        </w:trPr>
        <w:tc>
          <w:tcPr>
            <w:tcW w:w="2059" w:type="dxa"/>
            <w:shd w:val="clear" w:color="auto" w:fill="F2F2F2" w:themeFill="background2" w:themeFillShade="F2"/>
          </w:tcPr>
          <w:p w14:paraId="4F293B82" w14:textId="77777777" w:rsidR="000F326C" w:rsidRDefault="000F326C" w:rsidP="0000121B">
            <w:pPr>
              <w:pStyle w:val="TableHeading"/>
            </w:pPr>
            <w:r>
              <w:t>Mandatory disclosure document</w:t>
            </w:r>
          </w:p>
        </w:tc>
        <w:tc>
          <w:tcPr>
            <w:tcW w:w="6951" w:type="dxa"/>
            <w:shd w:val="clear" w:color="auto" w:fill="F2F2F2" w:themeFill="background2" w:themeFillShade="F2"/>
            <w:vAlign w:val="center"/>
          </w:tcPr>
          <w:p w14:paraId="7BDCC064" w14:textId="77777777" w:rsidR="000F326C" w:rsidRPr="00240EE5" w:rsidRDefault="000F326C" w:rsidP="0000121B">
            <w:pPr>
              <w:pStyle w:val="TableHeading"/>
            </w:pPr>
            <w:r>
              <w:t>Purpose</w:t>
            </w:r>
          </w:p>
        </w:tc>
      </w:tr>
      <w:tr w:rsidR="000F326C" w14:paraId="5E906863" w14:textId="77777777" w:rsidTr="00FB4174">
        <w:trPr>
          <w:trHeight w:val="567"/>
        </w:trPr>
        <w:tc>
          <w:tcPr>
            <w:tcW w:w="2059" w:type="dxa"/>
          </w:tcPr>
          <w:p w14:paraId="151FC6A8" w14:textId="77777777" w:rsidR="000F326C" w:rsidRDefault="000F326C" w:rsidP="0019309F">
            <w:pPr>
              <w:pStyle w:val="TableContent"/>
            </w:pPr>
            <w:r>
              <w:t>Proposed long-stay agreement</w:t>
            </w:r>
          </w:p>
        </w:tc>
        <w:tc>
          <w:tcPr>
            <w:tcW w:w="6951" w:type="dxa"/>
          </w:tcPr>
          <w:p w14:paraId="7F14DDDD" w14:textId="0E0DA20F" w:rsidR="000F326C" w:rsidRDefault="000F326C" w:rsidP="0019309F">
            <w:pPr>
              <w:pStyle w:val="TableContent"/>
            </w:pPr>
            <w:r>
              <w:t xml:space="preserve">Outlines the specific terms of the long-stay agreement including fees and charges, rent amount, rent review mechanisms and duration of agreement. Must be completed by </w:t>
            </w:r>
            <w:r w:rsidR="009F15B9">
              <w:t xml:space="preserve">the </w:t>
            </w:r>
            <w:r>
              <w:t>operator and be in standard form.</w:t>
            </w:r>
          </w:p>
        </w:tc>
      </w:tr>
      <w:tr w:rsidR="000F326C" w14:paraId="3DBA155E" w14:textId="77777777" w:rsidTr="00FB4174">
        <w:trPr>
          <w:trHeight w:val="567"/>
        </w:trPr>
        <w:tc>
          <w:tcPr>
            <w:tcW w:w="2059" w:type="dxa"/>
          </w:tcPr>
          <w:p w14:paraId="6501769A" w14:textId="4D8766D1" w:rsidR="000F326C" w:rsidRDefault="000F326C" w:rsidP="0019309F">
            <w:pPr>
              <w:pStyle w:val="TableContent"/>
            </w:pPr>
            <w:hyperlink r:id="rId17" w:history="1">
              <w:r w:rsidRPr="008643C0">
                <w:rPr>
                  <w:rStyle w:val="Hyperlink"/>
                </w:rPr>
                <w:t>Park Living Information Booklet</w:t>
              </w:r>
            </w:hyperlink>
          </w:p>
        </w:tc>
        <w:tc>
          <w:tcPr>
            <w:tcW w:w="6951" w:type="dxa"/>
          </w:tcPr>
          <w:p w14:paraId="042FED95" w14:textId="45AC43D9" w:rsidR="000F326C" w:rsidRDefault="000F326C" w:rsidP="0019309F">
            <w:pPr>
              <w:pStyle w:val="TableContent"/>
            </w:pPr>
            <w:r>
              <w:t xml:space="preserve">A comprehensive guidance document </w:t>
            </w:r>
            <w:r w:rsidR="009F15B9">
              <w:t xml:space="preserve">produced by LGIRS </w:t>
            </w:r>
            <w:r>
              <w:t>that outlines the laws regulating residential parks for operators and long-stay tenants.</w:t>
            </w:r>
          </w:p>
        </w:tc>
      </w:tr>
      <w:tr w:rsidR="000F326C" w14:paraId="2952F837" w14:textId="77777777" w:rsidTr="00FB4174">
        <w:trPr>
          <w:trHeight w:val="567"/>
        </w:trPr>
        <w:tc>
          <w:tcPr>
            <w:tcW w:w="2059" w:type="dxa"/>
          </w:tcPr>
          <w:p w14:paraId="26D27F62" w14:textId="77777777" w:rsidR="000F326C" w:rsidRDefault="000F326C" w:rsidP="0019309F">
            <w:pPr>
              <w:pStyle w:val="TableContent"/>
            </w:pPr>
            <w:r>
              <w:t>Disclosure Statement</w:t>
            </w:r>
          </w:p>
        </w:tc>
        <w:tc>
          <w:tcPr>
            <w:tcW w:w="6951" w:type="dxa"/>
          </w:tcPr>
          <w:p w14:paraId="746D89F8" w14:textId="499E84CA" w:rsidR="000F326C" w:rsidRDefault="000F326C" w:rsidP="0019309F">
            <w:pPr>
              <w:pStyle w:val="TableContent"/>
            </w:pPr>
            <w:r>
              <w:t xml:space="preserve">A summary of key terms of the long-stay agreement including how and when rent variations will occur, information about the </w:t>
            </w:r>
            <w:r>
              <w:lastRenderedPageBreak/>
              <w:t>site and information on future proposals for the park (e.g.</w:t>
            </w:r>
            <w:r w:rsidR="00495509">
              <w:t> </w:t>
            </w:r>
            <w:r>
              <w:t>additional facilities or services, sale or redevelopment).</w:t>
            </w:r>
          </w:p>
        </w:tc>
      </w:tr>
      <w:tr w:rsidR="000F326C" w14:paraId="20696426" w14:textId="77777777" w:rsidTr="00FB4174">
        <w:trPr>
          <w:trHeight w:val="567"/>
        </w:trPr>
        <w:tc>
          <w:tcPr>
            <w:tcW w:w="2059" w:type="dxa"/>
          </w:tcPr>
          <w:p w14:paraId="6F09190A" w14:textId="77777777" w:rsidR="000F326C" w:rsidRDefault="000F326C" w:rsidP="0019309F">
            <w:pPr>
              <w:pStyle w:val="TableContent"/>
            </w:pPr>
            <w:r>
              <w:lastRenderedPageBreak/>
              <w:t>Schedule of fees and charges</w:t>
            </w:r>
          </w:p>
        </w:tc>
        <w:tc>
          <w:tcPr>
            <w:tcW w:w="6951" w:type="dxa"/>
          </w:tcPr>
          <w:p w14:paraId="4B128447" w14:textId="3C0ECD86" w:rsidR="000F326C" w:rsidRDefault="000F326C" w:rsidP="0019309F">
            <w:pPr>
              <w:pStyle w:val="TableContent"/>
            </w:pPr>
            <w:r>
              <w:t>A list of all fees and charges payable to the park operator</w:t>
            </w:r>
            <w:r>
              <w:rPr>
                <w:rStyle w:val="FootnoteReference"/>
              </w:rPr>
              <w:footnoteReference w:id="9"/>
            </w:r>
            <w:r w:rsidR="002F2477">
              <w:t>.</w:t>
            </w:r>
            <w:r>
              <w:t xml:space="preserve"> </w:t>
            </w:r>
          </w:p>
        </w:tc>
      </w:tr>
      <w:tr w:rsidR="000F326C" w14:paraId="47E09F44" w14:textId="77777777" w:rsidTr="00FB4174">
        <w:trPr>
          <w:trHeight w:val="567"/>
        </w:trPr>
        <w:tc>
          <w:tcPr>
            <w:tcW w:w="2059" w:type="dxa"/>
          </w:tcPr>
          <w:p w14:paraId="0633BCCE" w14:textId="77777777" w:rsidR="000F326C" w:rsidRDefault="000F326C" w:rsidP="0019309F">
            <w:pPr>
              <w:pStyle w:val="TableContent"/>
            </w:pPr>
            <w:r>
              <w:t>Park rules</w:t>
            </w:r>
          </w:p>
        </w:tc>
        <w:tc>
          <w:tcPr>
            <w:tcW w:w="6951" w:type="dxa"/>
          </w:tcPr>
          <w:p w14:paraId="09DEEAC1" w14:textId="77777777" w:rsidR="000F326C" w:rsidRDefault="000F326C" w:rsidP="0019309F">
            <w:pPr>
              <w:pStyle w:val="TableContent"/>
            </w:pPr>
            <w:r>
              <w:t>If there are park rules for the park, an operator must provide a copy of the park rules.</w:t>
            </w:r>
          </w:p>
        </w:tc>
      </w:tr>
      <w:tr w:rsidR="000F326C" w14:paraId="1905A544" w14:textId="77777777" w:rsidTr="00FB4174">
        <w:trPr>
          <w:trHeight w:val="567"/>
        </w:trPr>
        <w:tc>
          <w:tcPr>
            <w:tcW w:w="2059" w:type="dxa"/>
          </w:tcPr>
          <w:p w14:paraId="0F4AD38A" w14:textId="77777777" w:rsidR="000F326C" w:rsidRDefault="000F326C" w:rsidP="0019309F">
            <w:pPr>
              <w:pStyle w:val="TableContent"/>
            </w:pPr>
            <w:r>
              <w:t>Property condition report</w:t>
            </w:r>
          </w:p>
        </w:tc>
        <w:tc>
          <w:tcPr>
            <w:tcW w:w="6951" w:type="dxa"/>
          </w:tcPr>
          <w:p w14:paraId="44A214D2" w14:textId="77777777" w:rsidR="000F326C" w:rsidRDefault="000F326C" w:rsidP="0019309F">
            <w:pPr>
              <w:pStyle w:val="TableContent"/>
            </w:pPr>
            <w:r>
              <w:t xml:space="preserve">The report will outline the condition of the site and, if leased from the operator, the home. </w:t>
            </w:r>
          </w:p>
        </w:tc>
      </w:tr>
      <w:tr w:rsidR="000F326C" w14:paraId="13FD3B35" w14:textId="77777777" w:rsidTr="00FB4174">
        <w:trPr>
          <w:trHeight w:val="567"/>
        </w:trPr>
        <w:tc>
          <w:tcPr>
            <w:tcW w:w="2059" w:type="dxa"/>
          </w:tcPr>
          <w:p w14:paraId="08A1E78A" w14:textId="77777777" w:rsidR="000F326C" w:rsidRDefault="000F326C" w:rsidP="0019309F">
            <w:pPr>
              <w:pStyle w:val="TableContent"/>
            </w:pPr>
            <w:r>
              <w:t>Voluntary Sharing Arrangement Form RP2B</w:t>
            </w:r>
          </w:p>
        </w:tc>
        <w:tc>
          <w:tcPr>
            <w:tcW w:w="6951" w:type="dxa"/>
          </w:tcPr>
          <w:p w14:paraId="463C57B3" w14:textId="77777777" w:rsidR="000F326C" w:rsidRDefault="000F326C" w:rsidP="0019309F">
            <w:pPr>
              <w:pStyle w:val="TableContent"/>
            </w:pPr>
            <w:r>
              <w:t xml:space="preserve">If the proposed lease agreement includes a voluntary sharing agreement (such as an exit fee), the operator must provide this form with clear information and worked examples on calculation of the voluntary sharing arrangement. </w:t>
            </w:r>
          </w:p>
        </w:tc>
      </w:tr>
    </w:tbl>
    <w:p w14:paraId="74D5172C" w14:textId="77777777" w:rsidR="000F326C" w:rsidRDefault="000F326C" w:rsidP="0019309F">
      <w:pPr>
        <w:pStyle w:val="BodyText"/>
        <w:jc w:val="left"/>
      </w:pPr>
      <w:r>
        <w:t>Disclosure by operators must occur:</w:t>
      </w:r>
    </w:p>
    <w:p w14:paraId="2DE6F8A8" w14:textId="77777777" w:rsidR="000F326C" w:rsidRDefault="000F326C" w:rsidP="0019309F">
      <w:pPr>
        <w:pStyle w:val="Bullet1"/>
        <w:jc w:val="left"/>
      </w:pPr>
      <w:r>
        <w:t>five days before signing an agreement for a site only agreement; and</w:t>
      </w:r>
    </w:p>
    <w:p w14:paraId="10DE20AC" w14:textId="77777777" w:rsidR="000F326C" w:rsidRDefault="000F326C" w:rsidP="0019309F">
      <w:pPr>
        <w:pStyle w:val="Bullet1"/>
        <w:jc w:val="left"/>
      </w:pPr>
      <w:r>
        <w:t xml:space="preserve">at any time prior to signing an agreement for an on-site home. </w:t>
      </w:r>
    </w:p>
    <w:p w14:paraId="34981F95" w14:textId="1EEF70BD" w:rsidR="000F326C" w:rsidRDefault="000F326C" w:rsidP="0019309F">
      <w:pPr>
        <w:pStyle w:val="BodyText"/>
        <w:jc w:val="left"/>
      </w:pPr>
      <w:r>
        <w:t xml:space="preserve">Current industry practice is that mandatory disclosure information is not provided to existing long-stay tenants prior to </w:t>
      </w:r>
      <w:r w:rsidR="00EF2538">
        <w:t>the</w:t>
      </w:r>
      <w:r w:rsidR="00495509">
        <w:t xml:space="preserve"> renewal or extension of</w:t>
      </w:r>
      <w:r>
        <w:t xml:space="preserve"> a current </w:t>
      </w:r>
      <w:r w:rsidR="00495509">
        <w:t xml:space="preserve">long-stay agreement </w:t>
      </w:r>
      <w:r>
        <w:t xml:space="preserve">or signing a new </w:t>
      </w:r>
      <w:r w:rsidR="00495509">
        <w:t>agreement</w:t>
      </w:r>
      <w:r w:rsidR="00977CB7">
        <w:t>,</w:t>
      </w:r>
      <w:r>
        <w:t xml:space="preserve"> however, </w:t>
      </w:r>
      <w:r w:rsidR="009F15B9">
        <w:t xml:space="preserve">providing the information at these stages </w:t>
      </w:r>
      <w:r>
        <w:t>is a requirement in New South Wales</w:t>
      </w:r>
      <w:r w:rsidR="00C65BE7">
        <w:t xml:space="preserve"> (NSW)</w:t>
      </w:r>
      <w:r w:rsidR="002F2477">
        <w:t>.</w:t>
      </w:r>
      <w:r w:rsidR="00977CB7">
        <w:rPr>
          <w:rStyle w:val="FootnoteReference"/>
        </w:rPr>
        <w:footnoteReference w:id="10"/>
      </w:r>
    </w:p>
    <w:p w14:paraId="4B005A57" w14:textId="77777777" w:rsidR="000F326C" w:rsidRPr="002D05F0" w:rsidRDefault="000F326C" w:rsidP="0019309F">
      <w:pPr>
        <w:pStyle w:val="Heading3"/>
        <w:jc w:val="left"/>
      </w:pPr>
      <w:bookmarkStart w:id="19" w:name="_Toc219884863"/>
      <w:r>
        <w:t>Feedback</w:t>
      </w:r>
      <w:bookmarkEnd w:id="19"/>
    </w:p>
    <w:p w14:paraId="679692D2" w14:textId="2256DDDF" w:rsidR="000F326C" w:rsidRDefault="000F326C" w:rsidP="0019309F">
      <w:pPr>
        <w:pStyle w:val="BodyText"/>
        <w:jc w:val="left"/>
      </w:pPr>
      <w:r>
        <w:t xml:space="preserve">The review is seeking feedback on </w:t>
      </w:r>
      <w:r w:rsidR="00495509">
        <w:t xml:space="preserve">whether </w:t>
      </w:r>
      <w:r>
        <w:t xml:space="preserve">disclosure information can be made clearer and better target matters of importance. </w:t>
      </w:r>
    </w:p>
    <w:p w14:paraId="0AEEDC68" w14:textId="51880BDA" w:rsidR="00495509" w:rsidRDefault="000F326C" w:rsidP="0019309F">
      <w:pPr>
        <w:pStyle w:val="BodyText"/>
        <w:jc w:val="left"/>
      </w:pPr>
      <w:r>
        <w:t xml:space="preserve">A major source of concern for long-stay tenants, particularly those with site only agreements, is the risk of termination of their tenancy and being required by the operator to vacate the park. </w:t>
      </w:r>
    </w:p>
    <w:p w14:paraId="74F7DD5A" w14:textId="48E22AC4" w:rsidR="00E671DC" w:rsidRDefault="00E671DC" w:rsidP="0019309F">
      <w:pPr>
        <w:spacing w:after="0" w:line="240" w:lineRule="auto"/>
        <w:rPr>
          <w:rFonts w:cs="Arial"/>
          <w:lang w:val="en-GB"/>
        </w:rPr>
      </w:pPr>
      <w:r>
        <w:br w:type="page"/>
      </w:r>
    </w:p>
    <w:p w14:paraId="7DD29334" w14:textId="1BB7FA98" w:rsidR="000F326C" w:rsidRDefault="000F326C" w:rsidP="0019309F">
      <w:pPr>
        <w:pStyle w:val="BodyText"/>
        <w:jc w:val="left"/>
      </w:pPr>
      <w:r w:rsidRPr="00765157">
        <w:rPr>
          <w:b/>
          <w:bCs/>
        </w:rPr>
        <w:lastRenderedPageBreak/>
        <w:t>Table 4</w:t>
      </w:r>
      <w:r w:rsidRPr="00765157">
        <w:t>: Main risks to long-stay tenants with site-only agreements</w:t>
      </w:r>
      <w:r w:rsidR="00495509">
        <w:t xml:space="preserve"> on termination</w:t>
      </w:r>
    </w:p>
    <w:tbl>
      <w:tblPr>
        <w:tblStyle w:val="TableGridLight"/>
        <w:tblW w:w="9067" w:type="dxa"/>
        <w:tblLook w:val="04A0" w:firstRow="1" w:lastRow="0" w:firstColumn="1" w:lastColumn="0" w:noHBand="0" w:noVBand="1"/>
        <w:tblDescription w:val="Table example"/>
      </w:tblPr>
      <w:tblGrid>
        <w:gridCol w:w="1257"/>
        <w:gridCol w:w="7810"/>
      </w:tblGrid>
      <w:tr w:rsidR="000F326C" w14:paraId="7907C1B0" w14:textId="77777777" w:rsidTr="005B6C74">
        <w:trPr>
          <w:trHeight w:val="567"/>
          <w:tblHeader/>
        </w:trPr>
        <w:tc>
          <w:tcPr>
            <w:tcW w:w="1257" w:type="dxa"/>
            <w:shd w:val="clear" w:color="auto" w:fill="F2F2F2" w:themeFill="background2" w:themeFillShade="F2"/>
            <w:vAlign w:val="center"/>
          </w:tcPr>
          <w:p w14:paraId="12663FBC" w14:textId="77777777" w:rsidR="000F326C" w:rsidRDefault="000F326C" w:rsidP="0000121B">
            <w:pPr>
              <w:pStyle w:val="TableHeading"/>
            </w:pPr>
            <w:r>
              <w:t>Risk</w:t>
            </w:r>
          </w:p>
        </w:tc>
        <w:tc>
          <w:tcPr>
            <w:tcW w:w="7810" w:type="dxa"/>
            <w:shd w:val="clear" w:color="auto" w:fill="F2F2F2" w:themeFill="background2" w:themeFillShade="F2"/>
            <w:vAlign w:val="center"/>
          </w:tcPr>
          <w:p w14:paraId="77A7BCED" w14:textId="77777777" w:rsidR="000F326C" w:rsidRPr="00240EE5" w:rsidRDefault="000F326C" w:rsidP="0000121B">
            <w:pPr>
              <w:pStyle w:val="TableHeading"/>
            </w:pPr>
            <w:r>
              <w:t>Explanation</w:t>
            </w:r>
          </w:p>
        </w:tc>
      </w:tr>
      <w:tr w:rsidR="000F326C" w14:paraId="30A86904" w14:textId="77777777" w:rsidTr="005B6C74">
        <w:trPr>
          <w:trHeight w:val="567"/>
        </w:trPr>
        <w:tc>
          <w:tcPr>
            <w:tcW w:w="1257" w:type="dxa"/>
          </w:tcPr>
          <w:p w14:paraId="399E64DD" w14:textId="77777777" w:rsidR="000F326C" w:rsidRPr="007C0F98" w:rsidRDefault="000F326C" w:rsidP="0019309F">
            <w:pPr>
              <w:pStyle w:val="TableContent"/>
              <w:rPr>
                <w:b/>
                <w:bCs/>
                <w:color w:val="002060"/>
              </w:rPr>
            </w:pPr>
            <w:r>
              <w:rPr>
                <w:b/>
                <w:bCs/>
                <w:color w:val="002060"/>
              </w:rPr>
              <w:t>Financial</w:t>
            </w:r>
          </w:p>
        </w:tc>
        <w:tc>
          <w:tcPr>
            <w:tcW w:w="7810" w:type="dxa"/>
          </w:tcPr>
          <w:p w14:paraId="0C9049BB" w14:textId="77777777" w:rsidR="000F326C" w:rsidRDefault="000F326C" w:rsidP="00B23C32">
            <w:pPr>
              <w:pStyle w:val="TableContent"/>
              <w:numPr>
                <w:ilvl w:val="0"/>
                <w:numId w:val="24"/>
              </w:numPr>
            </w:pPr>
            <w:r>
              <w:t xml:space="preserve">The cost to relocate the home. </w:t>
            </w:r>
          </w:p>
          <w:p w14:paraId="16693D70" w14:textId="77777777" w:rsidR="000F326C" w:rsidRDefault="000F326C" w:rsidP="00B23C32">
            <w:pPr>
              <w:pStyle w:val="TableContent"/>
              <w:numPr>
                <w:ilvl w:val="0"/>
                <w:numId w:val="24"/>
              </w:numPr>
            </w:pPr>
            <w:r>
              <w:t>The home is a depreciating asset. The cost to relocate could exceed the value of older homes.</w:t>
            </w:r>
          </w:p>
          <w:p w14:paraId="5E66B57F" w14:textId="2459E757" w:rsidR="000F326C" w:rsidRDefault="000F326C" w:rsidP="00B23C32">
            <w:pPr>
              <w:pStyle w:val="TableContent"/>
              <w:numPr>
                <w:ilvl w:val="0"/>
                <w:numId w:val="24"/>
              </w:numPr>
            </w:pPr>
            <w:r>
              <w:t>Access to funds to pay these costs</w:t>
            </w:r>
            <w:r w:rsidR="008643C0">
              <w:t>.</w:t>
            </w:r>
          </w:p>
          <w:p w14:paraId="254DB1BD" w14:textId="1E595A8E" w:rsidR="000F326C" w:rsidRDefault="000F326C" w:rsidP="00B23C32">
            <w:pPr>
              <w:pStyle w:val="TableContent"/>
              <w:numPr>
                <w:ilvl w:val="0"/>
                <w:numId w:val="24"/>
              </w:numPr>
            </w:pPr>
            <w:r>
              <w:t>The capital value of the home in new park relative to the existing park</w:t>
            </w:r>
            <w:r w:rsidR="008643C0">
              <w:t>.</w:t>
            </w:r>
          </w:p>
        </w:tc>
      </w:tr>
      <w:tr w:rsidR="000F326C" w14:paraId="6088EB04" w14:textId="77777777" w:rsidTr="005B6C74">
        <w:trPr>
          <w:trHeight w:val="567"/>
        </w:trPr>
        <w:tc>
          <w:tcPr>
            <w:tcW w:w="1257" w:type="dxa"/>
          </w:tcPr>
          <w:p w14:paraId="47D191A0" w14:textId="77777777" w:rsidR="000F326C" w:rsidRPr="007C0F98" w:rsidRDefault="000F326C" w:rsidP="0019309F">
            <w:pPr>
              <w:pStyle w:val="TableContent"/>
              <w:rPr>
                <w:b/>
                <w:bCs/>
                <w:color w:val="002060"/>
              </w:rPr>
            </w:pPr>
            <w:r>
              <w:rPr>
                <w:b/>
                <w:bCs/>
                <w:color w:val="002060"/>
              </w:rPr>
              <w:t xml:space="preserve">Housing </w:t>
            </w:r>
          </w:p>
        </w:tc>
        <w:tc>
          <w:tcPr>
            <w:tcW w:w="7810" w:type="dxa"/>
          </w:tcPr>
          <w:p w14:paraId="4DCC726D" w14:textId="3D8EA456" w:rsidR="000F326C" w:rsidRDefault="000F326C" w:rsidP="00B23C32">
            <w:pPr>
              <w:pStyle w:val="Bullet1"/>
              <w:jc w:val="left"/>
            </w:pPr>
            <w:r>
              <w:t>Tenant must find another park offering a suitable site for the home or alternate accommodation</w:t>
            </w:r>
            <w:r w:rsidR="008643C0">
              <w:t>.</w:t>
            </w:r>
          </w:p>
          <w:p w14:paraId="374EAE7E" w14:textId="14478F6F" w:rsidR="000F326C" w:rsidRDefault="000F326C" w:rsidP="00B23C32">
            <w:pPr>
              <w:pStyle w:val="Bullet1"/>
              <w:jc w:val="left"/>
            </w:pPr>
            <w:r>
              <w:t>Tenant’s home may not meet modern building standards that apply if relocated</w:t>
            </w:r>
            <w:r w:rsidR="008643C0">
              <w:t>.</w:t>
            </w:r>
          </w:p>
        </w:tc>
      </w:tr>
    </w:tbl>
    <w:p w14:paraId="7FACF116" w14:textId="56C8512B" w:rsidR="000F326C" w:rsidRDefault="000F326C" w:rsidP="0019309F">
      <w:pPr>
        <w:pStyle w:val="BodyText"/>
        <w:jc w:val="left"/>
      </w:pPr>
      <w:r>
        <w:t xml:space="preserve">The </w:t>
      </w:r>
      <w:hyperlink r:id="rId18" w:history="1">
        <w:r w:rsidRPr="008643C0">
          <w:rPr>
            <w:rStyle w:val="Hyperlink"/>
          </w:rPr>
          <w:t>Park Living Information Booklet</w:t>
        </w:r>
      </w:hyperlink>
      <w:r>
        <w:t xml:space="preserve"> provided by operators to prospective long-stay tenants does currently </w:t>
      </w:r>
      <w:r w:rsidR="009F15B9">
        <w:t xml:space="preserve">address </w:t>
      </w:r>
      <w:r>
        <w:t>this risk</w:t>
      </w:r>
      <w:r>
        <w:rPr>
          <w:rStyle w:val="FootnoteReference"/>
        </w:rPr>
        <w:footnoteReference w:id="11"/>
      </w:r>
      <w:r>
        <w:t xml:space="preserve"> and the review seeks feedback on whether this risk is explained clearly and prominently enough for long-stay tenants</w:t>
      </w:r>
      <w:r w:rsidR="009F15B9">
        <w:t xml:space="preserve"> in the current disclosure process</w:t>
      </w:r>
      <w:r>
        <w:t xml:space="preserve">. </w:t>
      </w:r>
    </w:p>
    <w:p w14:paraId="28A9C3C4" w14:textId="234888D3" w:rsidR="000F326C" w:rsidRDefault="00EF2538" w:rsidP="0019309F">
      <w:pPr>
        <w:pStyle w:val="BodyText"/>
        <w:jc w:val="left"/>
      </w:pPr>
      <w:r>
        <w:t>Disputes sometimes arise in</w:t>
      </w:r>
      <w:r w:rsidR="000F326C">
        <w:t xml:space="preserve"> residential parks about rent and fees. Disclosure by park operators about the amount of rent and fees is currently mandatory. A schedule of fees must be provided by an operator. </w:t>
      </w:r>
      <w:r>
        <w:t xml:space="preserve">The review will consider </w:t>
      </w:r>
      <w:r w:rsidR="000F326C">
        <w:t xml:space="preserve">whether this disclosure is </w:t>
      </w:r>
      <w:r w:rsidR="00AF66BE">
        <w:t xml:space="preserve">currently </w:t>
      </w:r>
      <w:r w:rsidR="000F326C">
        <w:t xml:space="preserve">effective in alerting prospective residents to the </w:t>
      </w:r>
      <w:r w:rsidR="00AF66BE">
        <w:t xml:space="preserve">ongoing </w:t>
      </w:r>
      <w:r w:rsidR="000F326C">
        <w:t>costs of living in the park.</w:t>
      </w:r>
    </w:p>
    <w:p w14:paraId="31397A79" w14:textId="11AB76D3" w:rsidR="00633CCE" w:rsidRDefault="000F326C" w:rsidP="0019309F">
      <w:pPr>
        <w:pStyle w:val="BodyText"/>
        <w:jc w:val="left"/>
      </w:pPr>
      <w:r>
        <w:t xml:space="preserve">Park operators that intend </w:t>
      </w:r>
      <w:r w:rsidR="008643C0">
        <w:t xml:space="preserve">to </w:t>
      </w:r>
      <w:r w:rsidR="00E72475">
        <w:t>include a voluntary sharing arrangement in a long-stay agreement, such as an exit fee or deferred rent</w:t>
      </w:r>
      <w:r w:rsidRPr="00104896">
        <w:t xml:space="preserve"> </w:t>
      </w:r>
      <w:r w:rsidR="00E72475">
        <w:t xml:space="preserve">are required to comply with certain disclosure requirements. </w:t>
      </w:r>
      <w:r w:rsidR="00633CCE">
        <w:t xml:space="preserve">This is discussed in part </w:t>
      </w:r>
      <w:r w:rsidR="00633CCE">
        <w:fldChar w:fldCharType="begin"/>
      </w:r>
      <w:r w:rsidR="00633CCE">
        <w:instrText xml:space="preserve"> REF _Ref219904748 \r \h </w:instrText>
      </w:r>
      <w:r w:rsidR="0019309F">
        <w:instrText xml:space="preserve"> \* MERGEFORMAT </w:instrText>
      </w:r>
      <w:r w:rsidR="00633CCE">
        <w:fldChar w:fldCharType="separate"/>
      </w:r>
      <w:r w:rsidR="00633CCE">
        <w:t>4.3</w:t>
      </w:r>
      <w:r w:rsidR="00633CCE">
        <w:fldChar w:fldCharType="end"/>
      </w:r>
      <w:r w:rsidR="00633CCE">
        <w:t xml:space="preserve"> of this paper. </w:t>
      </w:r>
    </w:p>
    <w:p w14:paraId="7C309245" w14:textId="62C4BB14" w:rsidR="000F326C" w:rsidRDefault="000F326C" w:rsidP="0019309F">
      <w:pPr>
        <w:pStyle w:val="BodyText"/>
        <w:jc w:val="left"/>
      </w:pPr>
      <w:r>
        <w:t xml:space="preserve">In </w:t>
      </w:r>
      <w:r w:rsidR="00C65BE7">
        <w:t>NSW</w:t>
      </w:r>
      <w:r>
        <w:t xml:space="preserve">, an operator must provide a prospective tenant with a disclosure statement that outlines the following matters that not </w:t>
      </w:r>
      <w:r w:rsidR="00AF66BE">
        <w:t xml:space="preserve">currently </w:t>
      </w:r>
      <w:r>
        <w:t>required to be disclosed in WA:</w:t>
      </w:r>
    </w:p>
    <w:p w14:paraId="6E685979" w14:textId="2AF963A9" w:rsidR="000F326C" w:rsidRDefault="00AF66BE" w:rsidP="0019309F">
      <w:pPr>
        <w:pStyle w:val="Bullet1"/>
        <w:jc w:val="left"/>
      </w:pPr>
      <w:r>
        <w:t>the</w:t>
      </w:r>
      <w:r w:rsidR="000F326C">
        <w:t xml:space="preserve"> available services and facilities</w:t>
      </w:r>
      <w:r w:rsidR="00F93A58">
        <w:t xml:space="preserve"> (in WA, this information is instead provided in the long-stay agreement)</w:t>
      </w:r>
      <w:r w:rsidR="000F326C">
        <w:t>;</w:t>
      </w:r>
    </w:p>
    <w:p w14:paraId="343D7344" w14:textId="77777777" w:rsidR="000F326C" w:rsidRDefault="000F326C" w:rsidP="0019309F">
      <w:pPr>
        <w:pStyle w:val="Bullet1"/>
        <w:jc w:val="left"/>
      </w:pPr>
      <w:r>
        <w:t>the park’s complaints management process;</w:t>
      </w:r>
    </w:p>
    <w:p w14:paraId="347BB85E" w14:textId="77777777" w:rsidR="000F326C" w:rsidRDefault="000F326C" w:rsidP="0019309F">
      <w:pPr>
        <w:pStyle w:val="Bullet1"/>
        <w:jc w:val="left"/>
      </w:pPr>
      <w:r>
        <w:t>ease of disability access;</w:t>
      </w:r>
    </w:p>
    <w:p w14:paraId="095CBEA0" w14:textId="77777777" w:rsidR="000F326C" w:rsidRDefault="000F326C" w:rsidP="0019309F">
      <w:pPr>
        <w:pStyle w:val="Bullet1"/>
        <w:jc w:val="left"/>
      </w:pPr>
      <w:r>
        <w:t>the operator’s compliance with its licence requirements;</w:t>
      </w:r>
    </w:p>
    <w:p w14:paraId="4609B6BF" w14:textId="77777777" w:rsidR="000F326C" w:rsidRDefault="000F326C" w:rsidP="0019309F">
      <w:pPr>
        <w:pStyle w:val="Bullet1"/>
        <w:jc w:val="left"/>
      </w:pPr>
      <w:r>
        <w:t>a map outlining available sites in the park; and</w:t>
      </w:r>
    </w:p>
    <w:p w14:paraId="7DB4A72F" w14:textId="3049E5DA" w:rsidR="000F326C" w:rsidRDefault="000F326C" w:rsidP="0019309F">
      <w:pPr>
        <w:pStyle w:val="Bullet1"/>
        <w:jc w:val="left"/>
      </w:pPr>
      <w:r>
        <w:t>the offence history of the operator</w:t>
      </w:r>
      <w:r w:rsidR="002F2477">
        <w:t>.</w:t>
      </w:r>
      <w:r>
        <w:rPr>
          <w:rStyle w:val="FootnoteReference"/>
        </w:rPr>
        <w:footnoteReference w:id="12"/>
      </w:r>
    </w:p>
    <w:p w14:paraId="13213634" w14:textId="1E03B224" w:rsidR="000F326C" w:rsidRPr="00232F70" w:rsidRDefault="000F326C" w:rsidP="0019309F">
      <w:pPr>
        <w:pStyle w:val="BodyText"/>
        <w:jc w:val="left"/>
      </w:pPr>
      <w:r>
        <w:lastRenderedPageBreak/>
        <w:t xml:space="preserve">The Form 1A required by the </w:t>
      </w:r>
      <w:r w:rsidRPr="00003405">
        <w:rPr>
          <w:i/>
          <w:iCs/>
        </w:rPr>
        <w:t>Manufactured Homes (Residential Parks) Act 2003</w:t>
      </w:r>
      <w:r>
        <w:t xml:space="preserve"> (</w:t>
      </w:r>
      <w:r w:rsidR="0035575A">
        <w:t>QLD</w:t>
      </w:r>
      <w:r>
        <w:t xml:space="preserve">) </w:t>
      </w:r>
      <w:r w:rsidRPr="00232F70">
        <w:t xml:space="preserve">includes </w:t>
      </w:r>
      <w:r w:rsidR="00AF66BE" w:rsidRPr="00232F70">
        <w:t xml:space="preserve">disclosure of </w:t>
      </w:r>
      <w:r w:rsidRPr="00232F70">
        <w:t>the rent in the park in the previous three years</w:t>
      </w:r>
      <w:r w:rsidR="002F2477">
        <w:t>.</w:t>
      </w:r>
      <w:r w:rsidRPr="00232F70">
        <w:rPr>
          <w:rStyle w:val="FootnoteReference"/>
        </w:rPr>
        <w:footnoteReference w:id="13"/>
      </w:r>
      <w:r w:rsidRPr="00232F70">
        <w:t xml:space="preserve"> </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6"/>
      </w:tblGrid>
      <w:tr w:rsidR="00232F70" w:rsidRPr="00662005" w14:paraId="5C8DCE18" w14:textId="77777777" w:rsidTr="00232F70">
        <w:tc>
          <w:tcPr>
            <w:tcW w:w="8926" w:type="dxa"/>
          </w:tcPr>
          <w:p w14:paraId="0B333256" w14:textId="7D4668C9" w:rsidR="00632751" w:rsidRPr="005622C9" w:rsidRDefault="00632751" w:rsidP="0019309F">
            <w:pPr>
              <w:rPr>
                <w:b/>
                <w:bCs/>
                <w:sz w:val="24"/>
              </w:rPr>
            </w:pPr>
            <w:r w:rsidRPr="005622C9">
              <w:rPr>
                <w:b/>
                <w:bCs/>
                <w:sz w:val="24"/>
              </w:rPr>
              <w:t>Consultation question</w:t>
            </w:r>
            <w:r w:rsidR="0006273C" w:rsidRPr="005622C9">
              <w:rPr>
                <w:b/>
                <w:bCs/>
                <w:sz w:val="24"/>
              </w:rPr>
              <w:t>s</w:t>
            </w:r>
          </w:p>
          <w:p w14:paraId="461ED0E7" w14:textId="43EC0A3B" w:rsidR="00632751" w:rsidRPr="009C0A3C" w:rsidRDefault="00632751" w:rsidP="0019309F">
            <w:pPr>
              <w:pStyle w:val="ListParagraph"/>
              <w:numPr>
                <w:ilvl w:val="0"/>
                <w:numId w:val="12"/>
              </w:numPr>
              <w:jc w:val="left"/>
              <w:rPr>
                <w:sz w:val="24"/>
                <w:szCs w:val="32"/>
              </w:rPr>
            </w:pPr>
            <w:r w:rsidRPr="009C0A3C">
              <w:rPr>
                <w:sz w:val="24"/>
                <w:szCs w:val="32"/>
              </w:rPr>
              <w:t xml:space="preserve">Are the current disclosure requirements appropriate? </w:t>
            </w:r>
          </w:p>
          <w:p w14:paraId="27410895" w14:textId="676AA551" w:rsidR="00632751" w:rsidRPr="009C0A3C" w:rsidRDefault="00632751" w:rsidP="0019309F">
            <w:pPr>
              <w:pStyle w:val="ListParagraph"/>
              <w:jc w:val="left"/>
              <w:rPr>
                <w:sz w:val="24"/>
                <w:szCs w:val="32"/>
              </w:rPr>
            </w:pPr>
            <w:r w:rsidRPr="009C0A3C">
              <w:rPr>
                <w:sz w:val="24"/>
                <w:szCs w:val="32"/>
              </w:rPr>
              <w:t xml:space="preserve">If not, what improvement to disclosure is required? </w:t>
            </w:r>
          </w:p>
          <w:p w14:paraId="2C6FEAC2" w14:textId="23ACB052" w:rsidR="00524020" w:rsidRPr="00D936A7" w:rsidRDefault="00632751" w:rsidP="0019309F">
            <w:pPr>
              <w:pStyle w:val="ListParagraph"/>
              <w:jc w:val="left"/>
            </w:pPr>
            <w:r w:rsidRPr="009C0A3C">
              <w:rPr>
                <w:sz w:val="24"/>
                <w:szCs w:val="32"/>
              </w:rPr>
              <w:t>Could the way that information is presented in the disclosure material be improved</w:t>
            </w:r>
            <w:r w:rsidR="0006273C" w:rsidRPr="009C0A3C">
              <w:rPr>
                <w:sz w:val="24"/>
                <w:szCs w:val="32"/>
              </w:rPr>
              <w:t>?</w:t>
            </w:r>
            <w:r w:rsidR="00524020" w:rsidRPr="009C0A3C">
              <w:rPr>
                <w:sz w:val="24"/>
                <w:szCs w:val="32"/>
              </w:rPr>
              <w:t xml:space="preserve"> </w:t>
            </w:r>
            <w:r w:rsidR="0086733C" w:rsidRPr="009C0A3C">
              <w:rPr>
                <w:sz w:val="24"/>
                <w:szCs w:val="32"/>
              </w:rPr>
              <w:t>If so, how</w:t>
            </w:r>
            <w:r w:rsidR="003F7731" w:rsidRPr="009C0A3C">
              <w:rPr>
                <w:sz w:val="24"/>
                <w:szCs w:val="32"/>
              </w:rPr>
              <w:t>?</w:t>
            </w:r>
          </w:p>
        </w:tc>
      </w:tr>
    </w:tbl>
    <w:p w14:paraId="0D681FBC" w14:textId="3DD2E798" w:rsidR="00BF1D00" w:rsidRDefault="00BF1D00" w:rsidP="0019309F">
      <w:pPr>
        <w:pStyle w:val="Heading2"/>
        <w:jc w:val="left"/>
      </w:pPr>
      <w:bookmarkStart w:id="20" w:name="_Toc219207036"/>
      <w:bookmarkStart w:id="21" w:name="_Toc219207037"/>
      <w:bookmarkStart w:id="22" w:name="_Toc219207038"/>
      <w:bookmarkStart w:id="23" w:name="_Toc219207039"/>
      <w:bookmarkStart w:id="24" w:name="_Toc219884864"/>
      <w:bookmarkEnd w:id="20"/>
      <w:bookmarkEnd w:id="21"/>
      <w:bookmarkEnd w:id="22"/>
      <w:bookmarkEnd w:id="23"/>
      <w:r>
        <w:t>Applying for a long-stay agreement</w:t>
      </w:r>
      <w:bookmarkEnd w:id="24"/>
    </w:p>
    <w:p w14:paraId="7A696760" w14:textId="31E43C23" w:rsidR="00BF1D00" w:rsidRDefault="00BF1D00" w:rsidP="0019309F">
      <w:pPr>
        <w:pStyle w:val="BodyText"/>
        <w:jc w:val="left"/>
      </w:pPr>
      <w:r>
        <w:t xml:space="preserve">A park operator usually requires a prospective long-stay tenant to apply for a </w:t>
      </w:r>
      <w:r w:rsidR="00EF2538">
        <w:t>tenancy</w:t>
      </w:r>
      <w:r>
        <w:t xml:space="preserve"> at the park. During this process, the operator may seek information to </w:t>
      </w:r>
      <w:r w:rsidR="00296F75">
        <w:t xml:space="preserve">decide whether </w:t>
      </w:r>
      <w:r>
        <w:t xml:space="preserve">the </w:t>
      </w:r>
      <w:r w:rsidR="0054330B">
        <w:t xml:space="preserve">person </w:t>
      </w:r>
      <w:r w:rsidR="00EF2538">
        <w:t>is suitable to be offered a tenancy</w:t>
      </w:r>
      <w:r w:rsidR="0054330B">
        <w:t>.</w:t>
      </w:r>
    </w:p>
    <w:p w14:paraId="7B1A35B1" w14:textId="17817336" w:rsidR="0054330B" w:rsidRDefault="0054330B" w:rsidP="0019309F">
      <w:pPr>
        <w:pStyle w:val="Heading3"/>
        <w:jc w:val="left"/>
      </w:pPr>
      <w:bookmarkStart w:id="25" w:name="_Toc219884865"/>
      <w:r>
        <w:t>Issues</w:t>
      </w:r>
      <w:bookmarkEnd w:id="25"/>
    </w:p>
    <w:p w14:paraId="7F7C2DBC" w14:textId="066E3289" w:rsidR="001F5020" w:rsidRDefault="0054330B" w:rsidP="0019309F">
      <w:pPr>
        <w:pStyle w:val="BodyText"/>
        <w:jc w:val="left"/>
      </w:pPr>
      <w:r>
        <w:t xml:space="preserve">The Act does not currently regulate the </w:t>
      </w:r>
      <w:r w:rsidR="00E5121C">
        <w:t>collection, use, storage</w:t>
      </w:r>
      <w:r w:rsidR="001F5020">
        <w:t>,</w:t>
      </w:r>
      <w:r w:rsidR="00E5121C">
        <w:t xml:space="preserve"> destruction </w:t>
      </w:r>
      <w:r w:rsidR="001F5020">
        <w:t xml:space="preserve">and sharing </w:t>
      </w:r>
      <w:r w:rsidR="00E5121C">
        <w:t xml:space="preserve">of personal information provided by a prospective tenant to an operator. An operator may collect references, rental history and copies of identity documents </w:t>
      </w:r>
      <w:r w:rsidR="00F81A3F">
        <w:t>to determine if they should offer the applicant a site or home.</w:t>
      </w:r>
    </w:p>
    <w:p w14:paraId="2738F1D2" w14:textId="3B8C9CA0" w:rsidR="00225F04" w:rsidRDefault="00952B60" w:rsidP="0019309F">
      <w:pPr>
        <w:pStyle w:val="BodyText"/>
        <w:jc w:val="left"/>
      </w:pPr>
      <w:r>
        <w:t xml:space="preserve">In </w:t>
      </w:r>
      <w:r w:rsidR="00C65BE7">
        <w:t>NSW</w:t>
      </w:r>
      <w:r>
        <w:t>, operators must not disclose any confidential information obtained while dealing with or on behalf of a resident or prospective resident unless the resident authorises the disclosure or the operator is permitted or compelled by law to disclose</w:t>
      </w:r>
      <w:r w:rsidR="002F2477">
        <w:t>.</w:t>
      </w:r>
      <w:r>
        <w:rPr>
          <w:rStyle w:val="FootnoteReference"/>
        </w:rPr>
        <w:footnoteReference w:id="14"/>
      </w:r>
      <w:r w:rsidR="00225F04">
        <w:t xml:space="preserve"> </w:t>
      </w:r>
    </w:p>
    <w:p w14:paraId="5F808E82" w14:textId="68019EC1" w:rsidR="00E5121C" w:rsidRPr="007E39FE" w:rsidRDefault="00A65CC0" w:rsidP="0019309F">
      <w:pPr>
        <w:pStyle w:val="Heading3"/>
        <w:jc w:val="left"/>
      </w:pPr>
      <w:bookmarkStart w:id="26" w:name="_Toc219884866"/>
      <w:r>
        <w:t>Feedback</w:t>
      </w:r>
      <w:bookmarkEnd w:id="26"/>
    </w:p>
    <w:p w14:paraId="118DA1DA" w14:textId="1C61873C" w:rsidR="003737D3" w:rsidRPr="005A0A7F" w:rsidRDefault="00E5121C" w:rsidP="0019309F">
      <w:pPr>
        <w:pStyle w:val="BodyText"/>
        <w:jc w:val="left"/>
      </w:pPr>
      <w:r w:rsidRPr="005A0A7F">
        <w:t xml:space="preserve">The review is seeking feedback on </w:t>
      </w:r>
      <w:r w:rsidR="00952B60" w:rsidRPr="005A0A7F">
        <w:t xml:space="preserve">the </w:t>
      </w:r>
      <w:r w:rsidR="000F6577" w:rsidRPr="005A0A7F">
        <w:t xml:space="preserve">nature and </w:t>
      </w:r>
      <w:r w:rsidR="00952B60" w:rsidRPr="005A0A7F">
        <w:t xml:space="preserve">extent of </w:t>
      </w:r>
      <w:r w:rsidRPr="005A0A7F">
        <w:t>issues</w:t>
      </w:r>
      <w:r w:rsidR="001F5020" w:rsidRPr="005A0A7F">
        <w:t xml:space="preserve"> </w:t>
      </w:r>
      <w:r w:rsidR="000F6577" w:rsidRPr="005A0A7F">
        <w:t xml:space="preserve">that might arise when applying for entry to a residential park, including those </w:t>
      </w:r>
      <w:r w:rsidR="001F5020" w:rsidRPr="005A0A7F">
        <w:t>related to personal information,</w:t>
      </w:r>
      <w:r w:rsidR="00952B60" w:rsidRPr="005A0A7F">
        <w:t xml:space="preserve"> the</w:t>
      </w:r>
      <w:r w:rsidR="001F5020" w:rsidRPr="005A0A7F">
        <w:t xml:space="preserve"> payment of fees and other </w:t>
      </w:r>
      <w:r w:rsidR="000F6577" w:rsidRPr="005A0A7F">
        <w:t>conditions or obligations</w:t>
      </w:r>
      <w:r w:rsidR="009D1BE9" w:rsidRPr="005A0A7F">
        <w:t>.</w:t>
      </w:r>
    </w:p>
    <w:tbl>
      <w:tblPr>
        <w:tblStyle w:val="TableGrid"/>
        <w:tblW w:w="0" w:type="auto"/>
        <w:tblLook w:val="04A0" w:firstRow="1" w:lastRow="0" w:firstColumn="1" w:lastColumn="0" w:noHBand="0" w:noVBand="1"/>
      </w:tblPr>
      <w:tblGrid>
        <w:gridCol w:w="9010"/>
      </w:tblGrid>
      <w:tr w:rsidR="004D1248" w:rsidRPr="005A0A7F" w14:paraId="1F1C5AFA" w14:textId="77777777" w:rsidTr="00232F70">
        <w:trPr>
          <w:trHeight w:val="830"/>
        </w:trPr>
        <w:tc>
          <w:tcPr>
            <w:tcW w:w="9010" w:type="dxa"/>
          </w:tcPr>
          <w:p w14:paraId="6195FB4A" w14:textId="36EE33ED" w:rsidR="007E65E3" w:rsidRPr="005622C9" w:rsidRDefault="004D1248" w:rsidP="0019309F">
            <w:pPr>
              <w:ind w:right="369"/>
              <w:rPr>
                <w:b/>
                <w:bCs/>
                <w:sz w:val="24"/>
              </w:rPr>
            </w:pPr>
            <w:r w:rsidRPr="005622C9">
              <w:rPr>
                <w:b/>
                <w:bCs/>
                <w:sz w:val="24"/>
              </w:rPr>
              <w:t>Consultation question</w:t>
            </w:r>
            <w:r w:rsidR="00000AA9" w:rsidRPr="005622C9">
              <w:rPr>
                <w:b/>
                <w:bCs/>
                <w:sz w:val="24"/>
              </w:rPr>
              <w:t>s</w:t>
            </w:r>
          </w:p>
          <w:p w14:paraId="3ED14B6B" w14:textId="32181979" w:rsidR="004D1248" w:rsidRPr="009C0A3C" w:rsidRDefault="004D1248" w:rsidP="0019309F">
            <w:pPr>
              <w:pStyle w:val="ListParagraph"/>
              <w:jc w:val="left"/>
              <w:rPr>
                <w:sz w:val="24"/>
                <w:szCs w:val="32"/>
              </w:rPr>
            </w:pPr>
            <w:r w:rsidRPr="009C0A3C">
              <w:rPr>
                <w:sz w:val="24"/>
                <w:szCs w:val="32"/>
              </w:rPr>
              <w:t>Are restrictions required on the way that operators use and manage information obtained from tenants and prospective long-stay tenants?</w:t>
            </w:r>
          </w:p>
          <w:p w14:paraId="7E4711BF" w14:textId="3E9D00F5" w:rsidR="004D1248" w:rsidRPr="009C0A3C" w:rsidRDefault="004D1248" w:rsidP="0019309F">
            <w:pPr>
              <w:pStyle w:val="ListParagraph"/>
              <w:jc w:val="left"/>
              <w:rPr>
                <w:sz w:val="24"/>
                <w:szCs w:val="32"/>
              </w:rPr>
            </w:pPr>
            <w:r w:rsidRPr="009C0A3C">
              <w:rPr>
                <w:sz w:val="24"/>
                <w:szCs w:val="32"/>
              </w:rPr>
              <w:t>If yes, what restrictions should apply?</w:t>
            </w:r>
          </w:p>
          <w:p w14:paraId="68A8644A" w14:textId="7D8C09D7" w:rsidR="004D1248" w:rsidRPr="00D936A7" w:rsidRDefault="004D1248" w:rsidP="0019309F">
            <w:pPr>
              <w:pStyle w:val="ListParagraph"/>
              <w:jc w:val="left"/>
            </w:pPr>
            <w:r w:rsidRPr="009C0A3C">
              <w:rPr>
                <w:sz w:val="24"/>
                <w:szCs w:val="32"/>
              </w:rPr>
              <w:t xml:space="preserve">Are there any other issues experienced by stakeholders </w:t>
            </w:r>
            <w:r w:rsidR="0086733C" w:rsidRPr="009C0A3C">
              <w:rPr>
                <w:sz w:val="24"/>
                <w:szCs w:val="32"/>
              </w:rPr>
              <w:t xml:space="preserve">as part of </w:t>
            </w:r>
            <w:r w:rsidRPr="009C0A3C">
              <w:rPr>
                <w:sz w:val="24"/>
                <w:szCs w:val="32"/>
              </w:rPr>
              <w:t>the application process</w:t>
            </w:r>
            <w:r w:rsidR="003F7731" w:rsidRPr="009C0A3C">
              <w:rPr>
                <w:sz w:val="24"/>
                <w:szCs w:val="32"/>
              </w:rPr>
              <w:t>?</w:t>
            </w:r>
          </w:p>
        </w:tc>
      </w:tr>
    </w:tbl>
    <w:p w14:paraId="7741B557" w14:textId="17C57B70" w:rsidR="00215C31" w:rsidRDefault="00215C31" w:rsidP="0019309F">
      <w:pPr>
        <w:pStyle w:val="Heading2"/>
        <w:jc w:val="left"/>
      </w:pPr>
      <w:bookmarkStart w:id="27" w:name="_Toc219207044"/>
      <w:bookmarkStart w:id="28" w:name="_Toc216806989"/>
      <w:bookmarkStart w:id="29" w:name="_Toc216806990"/>
      <w:bookmarkStart w:id="30" w:name="_Toc216806991"/>
      <w:bookmarkStart w:id="31" w:name="_Toc216806992"/>
      <w:bookmarkStart w:id="32" w:name="_Toc216806993"/>
      <w:bookmarkStart w:id="33" w:name="_Toc216806994"/>
      <w:bookmarkStart w:id="34" w:name="_Toc216806995"/>
      <w:bookmarkStart w:id="35" w:name="_Toc216807020"/>
      <w:bookmarkStart w:id="36" w:name="_Toc216807021"/>
      <w:bookmarkStart w:id="37" w:name="_Toc216807022"/>
      <w:bookmarkStart w:id="38" w:name="_Toc216807023"/>
      <w:bookmarkStart w:id="39" w:name="_Toc216807024"/>
      <w:bookmarkStart w:id="40" w:name="_Toc214547312"/>
      <w:bookmarkStart w:id="41" w:name="_Toc215579507"/>
      <w:bookmarkStart w:id="42" w:name="_Toc215579593"/>
      <w:bookmarkStart w:id="43" w:name="_Toc215579678"/>
      <w:bookmarkStart w:id="44" w:name="_Toc216807025"/>
      <w:bookmarkStart w:id="45" w:name="_Toc216807026"/>
      <w:bookmarkStart w:id="46" w:name="_Toc216807027"/>
      <w:bookmarkStart w:id="47" w:name="_Toc216807028"/>
      <w:bookmarkStart w:id="48" w:name="_Toc216807042"/>
      <w:bookmarkStart w:id="49" w:name="_Toc216807043"/>
      <w:bookmarkStart w:id="50" w:name="_Toc216807044"/>
      <w:bookmarkStart w:id="51" w:name="_Toc216807045"/>
      <w:bookmarkStart w:id="52" w:name="_Toc216807046"/>
      <w:bookmarkStart w:id="53" w:name="_Toc216807047"/>
      <w:bookmarkStart w:id="54" w:name="_Toc216807048"/>
      <w:bookmarkStart w:id="55" w:name="_Toc216807049"/>
      <w:bookmarkStart w:id="56" w:name="_Toc216807050"/>
      <w:bookmarkStart w:id="57" w:name="_Toc216807051"/>
      <w:bookmarkStart w:id="58" w:name="_Toc216807052"/>
      <w:bookmarkStart w:id="59" w:name="_Toc216807053"/>
      <w:bookmarkStart w:id="60" w:name="_Toc216807054"/>
      <w:bookmarkStart w:id="61" w:name="_Toc216807055"/>
      <w:bookmarkStart w:id="62" w:name="_Toc216807056"/>
      <w:bookmarkStart w:id="63" w:name="_Toc216807057"/>
      <w:bookmarkStart w:id="64" w:name="_Toc216807058"/>
      <w:bookmarkStart w:id="65" w:name="_Toc216807059"/>
      <w:bookmarkStart w:id="66" w:name="_Toc214547314"/>
      <w:bookmarkStart w:id="67" w:name="_Toc215579509"/>
      <w:bookmarkStart w:id="68" w:name="_Toc215579595"/>
      <w:bookmarkStart w:id="69" w:name="_Toc215579680"/>
      <w:bookmarkStart w:id="70" w:name="_Toc216807060"/>
      <w:bookmarkStart w:id="71" w:name="_Toc216807061"/>
      <w:bookmarkStart w:id="72" w:name="_Toc216807062"/>
      <w:bookmarkStart w:id="73" w:name="_Toc216807063"/>
      <w:bookmarkStart w:id="74" w:name="_Toc216807064"/>
      <w:bookmarkStart w:id="75" w:name="_Toc216807065"/>
      <w:bookmarkStart w:id="76" w:name="_Toc216807066"/>
      <w:bookmarkStart w:id="77" w:name="_Toc216807067"/>
      <w:bookmarkStart w:id="78" w:name="_Toc216807068"/>
      <w:bookmarkStart w:id="79" w:name="_Toc216807069"/>
      <w:bookmarkStart w:id="80" w:name="_Toc216807070"/>
      <w:bookmarkStart w:id="81" w:name="_Toc216807071"/>
      <w:bookmarkStart w:id="82" w:name="_Toc216807072"/>
      <w:bookmarkStart w:id="83" w:name="_Toc216807073"/>
      <w:bookmarkStart w:id="84" w:name="_Toc216807074"/>
      <w:bookmarkStart w:id="85" w:name="_Toc219884867"/>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r>
        <w:lastRenderedPageBreak/>
        <w:t>Long-stay agreement</w:t>
      </w:r>
      <w:r w:rsidR="001944DC">
        <w:t xml:space="preserve"> and forms</w:t>
      </w:r>
      <w:bookmarkEnd w:id="85"/>
    </w:p>
    <w:p w14:paraId="77753995" w14:textId="20980337" w:rsidR="001944DC" w:rsidRDefault="00D46B3E" w:rsidP="0019309F">
      <w:pPr>
        <w:pStyle w:val="BodyText"/>
        <w:keepNext/>
        <w:jc w:val="left"/>
      </w:pPr>
      <w:r>
        <w:t xml:space="preserve">The Act requires operators to use certain standard agreements, forms and notices. </w:t>
      </w:r>
    </w:p>
    <w:p w14:paraId="4F3D8102" w14:textId="43A07ACC" w:rsidR="00215C31" w:rsidRPr="000159BD" w:rsidRDefault="00215C31" w:rsidP="0019309F">
      <w:pPr>
        <w:pStyle w:val="Heading3"/>
        <w:jc w:val="left"/>
      </w:pPr>
      <w:bookmarkStart w:id="86" w:name="_Toc219884868"/>
      <w:r w:rsidRPr="000159BD">
        <w:t>Issue</w:t>
      </w:r>
      <w:r w:rsidR="00AF0E78">
        <w:t>s</w:t>
      </w:r>
      <w:bookmarkEnd w:id="86"/>
    </w:p>
    <w:p w14:paraId="058B0F8F" w14:textId="3C292E17" w:rsidR="00215C31" w:rsidRDefault="00D46B3E" w:rsidP="0019309F">
      <w:pPr>
        <w:pStyle w:val="BodyText"/>
        <w:jc w:val="left"/>
      </w:pPr>
      <w:r>
        <w:t xml:space="preserve">LGIRS is aware of reports that some operators and residents are not complying with the requirements to have written agreements, </w:t>
      </w:r>
      <w:r w:rsidR="00215C31">
        <w:t xml:space="preserve">leading to disputes between long-stay tenants and operators </w:t>
      </w:r>
      <w:r w:rsidR="00A05C71">
        <w:t xml:space="preserve">during the tenancy </w:t>
      </w:r>
      <w:r w:rsidR="00215C31">
        <w:t xml:space="preserve">about the basis for a rent increase, the duration that a tenant may stay in the park, the grounds on which an agreement can be terminated or other matters. </w:t>
      </w:r>
    </w:p>
    <w:p w14:paraId="42E08EA8" w14:textId="7F5B9340" w:rsidR="00215C31" w:rsidRDefault="00215C31" w:rsidP="0019309F">
      <w:pPr>
        <w:pStyle w:val="BodyText"/>
        <w:jc w:val="left"/>
      </w:pPr>
      <w:r>
        <w:t>Th</w:t>
      </w:r>
      <w:r w:rsidR="00A05C71">
        <w:t xml:space="preserve">is situation </w:t>
      </w:r>
      <w:r>
        <w:t>commonly arises when the initial fixed-term agreement between the parties expires, the long-stay tenant continues to reside at the park and pays rent</w:t>
      </w:r>
      <w:r w:rsidR="00CD11B4">
        <w:t xml:space="preserve"> –</w:t>
      </w:r>
      <w:r>
        <w:t xml:space="preserve"> but the parties do </w:t>
      </w:r>
      <w:r w:rsidR="00BE1CCD">
        <w:t xml:space="preserve">not </w:t>
      </w:r>
      <w:r>
        <w:t xml:space="preserve">enter into new written agreement. In some cases, the parties may not be able to locate a historical written agreement due to the passage of time. </w:t>
      </w:r>
    </w:p>
    <w:p w14:paraId="7675793D" w14:textId="12DA05F2" w:rsidR="00D46B3E" w:rsidRDefault="00D46B3E" w:rsidP="0019309F">
      <w:pPr>
        <w:pStyle w:val="BodyText"/>
        <w:jc w:val="left"/>
      </w:pPr>
      <w:r>
        <w:t>Feedback is sought on whether the existing provisions that require long-stay agreements to be in writing are known to the sector</w:t>
      </w:r>
      <w:r w:rsidR="007063F0">
        <w:t>.</w:t>
      </w:r>
    </w:p>
    <w:p w14:paraId="392BE071" w14:textId="3DADDEAA" w:rsidR="00D46B3E" w:rsidRDefault="00D46B3E" w:rsidP="0019309F">
      <w:pPr>
        <w:pStyle w:val="BodyText"/>
        <w:jc w:val="left"/>
      </w:pPr>
      <w:r w:rsidRPr="004D1248">
        <w:t xml:space="preserve">Feedback is </w:t>
      </w:r>
      <w:r>
        <w:t xml:space="preserve">also </w:t>
      </w:r>
      <w:r w:rsidRPr="004D1248">
        <w:t xml:space="preserve">sought on whether current </w:t>
      </w:r>
      <w:r>
        <w:t xml:space="preserve">standard long-stay agreements and </w:t>
      </w:r>
      <w:r w:rsidRPr="004D1248">
        <w:t>forms are appropriate</w:t>
      </w:r>
      <w:r>
        <w:rPr>
          <w:rStyle w:val="FootnoteReference"/>
        </w:rPr>
        <w:footnoteReference w:id="15"/>
      </w:r>
      <w:r>
        <w:t>.</w:t>
      </w:r>
    </w:p>
    <w:p w14:paraId="648511DA" w14:textId="6D278296" w:rsidR="002474E7" w:rsidRDefault="002474E7" w:rsidP="0019309F">
      <w:pPr>
        <w:pStyle w:val="Heading3"/>
        <w:jc w:val="left"/>
      </w:pPr>
      <w:bookmarkStart w:id="87" w:name="_Toc219884869"/>
      <w:r>
        <w:t>Current requirements</w:t>
      </w:r>
      <w:bookmarkEnd w:id="87"/>
    </w:p>
    <w:p w14:paraId="5F1A4964" w14:textId="4328F22D" w:rsidR="00324C30" w:rsidRDefault="00215C31" w:rsidP="0019309F">
      <w:pPr>
        <w:pStyle w:val="BodyText"/>
        <w:jc w:val="left"/>
      </w:pPr>
      <w:r>
        <w:t>The Act imposes a range of requirements</w:t>
      </w:r>
      <w:r w:rsidR="00D93D58">
        <w:t xml:space="preserve"> in relation to long-stay agreements</w:t>
      </w:r>
      <w:r>
        <w:t>:</w:t>
      </w:r>
    </w:p>
    <w:p w14:paraId="5CAA9159" w14:textId="77777777" w:rsidR="00D93D58" w:rsidRDefault="00D93D58" w:rsidP="0019309F">
      <w:pPr>
        <w:pStyle w:val="Bullet1"/>
        <w:jc w:val="left"/>
      </w:pPr>
      <w:r>
        <w:t>the Act sets out a number of standard terms that apply to all long-stay agreements;</w:t>
      </w:r>
    </w:p>
    <w:p w14:paraId="0C682A1F" w14:textId="5C8D1717" w:rsidR="00215C31" w:rsidRDefault="00215C31" w:rsidP="0019309F">
      <w:pPr>
        <w:pStyle w:val="Bullet1"/>
        <w:jc w:val="left"/>
      </w:pPr>
      <w:r>
        <w:t xml:space="preserve">an operator must enter into a written long-stay agreement that includes </w:t>
      </w:r>
      <w:r w:rsidR="00D93D58">
        <w:t xml:space="preserve">the </w:t>
      </w:r>
      <w:r>
        <w:t>standard terms</w:t>
      </w:r>
      <w:r w:rsidR="00324C30">
        <w:t xml:space="preserve"> </w:t>
      </w:r>
      <w:r w:rsidR="00703A6D">
        <w:t>(</w:t>
      </w:r>
      <w:r w:rsidR="00324C30">
        <w:t xml:space="preserve">a similar obligation </w:t>
      </w:r>
      <w:r w:rsidR="00703A6D">
        <w:t>applies</w:t>
      </w:r>
      <w:r w:rsidR="00324C30">
        <w:t xml:space="preserve"> in other </w:t>
      </w:r>
      <w:r w:rsidR="00F20BFB">
        <w:t>s</w:t>
      </w:r>
      <w:r w:rsidR="00324C30">
        <w:t>tates</w:t>
      </w:r>
      <w:r w:rsidR="002F2477">
        <w:t>).</w:t>
      </w:r>
      <w:r w:rsidR="00324C30" w:rsidRPr="00710C2A">
        <w:rPr>
          <w:vertAlign w:val="superscript"/>
        </w:rPr>
        <w:footnoteReference w:id="16"/>
      </w:r>
      <w:r>
        <w:t xml:space="preserve"> Under the Act, a penalty applies to operators that do not enter into written agreements</w:t>
      </w:r>
      <w:r w:rsidR="002F2477">
        <w:t>;</w:t>
      </w:r>
      <w:r w:rsidRPr="002474E7">
        <w:rPr>
          <w:vertAlign w:val="superscript"/>
        </w:rPr>
        <w:footnoteReference w:id="17"/>
      </w:r>
    </w:p>
    <w:p w14:paraId="5EA13E10" w14:textId="2BBBC325" w:rsidR="00D93D58" w:rsidRDefault="00D93D58" w:rsidP="0019309F">
      <w:pPr>
        <w:pStyle w:val="Bullet1"/>
        <w:jc w:val="left"/>
      </w:pPr>
      <w:r>
        <w:t>if a standard form of agreement is prescribed, then the long-stay agreement must be in the standard form</w:t>
      </w:r>
      <w:r w:rsidR="002F2477">
        <w:t>;</w:t>
      </w:r>
      <w:r w:rsidR="00D46B3E" w:rsidRPr="002474E7">
        <w:rPr>
          <w:vertAlign w:val="superscript"/>
        </w:rPr>
        <w:footnoteReference w:id="18"/>
      </w:r>
    </w:p>
    <w:p w14:paraId="13248F47" w14:textId="1B81065A" w:rsidR="00215C31" w:rsidRDefault="00215C31" w:rsidP="0019309F">
      <w:pPr>
        <w:pStyle w:val="Bullet1"/>
        <w:jc w:val="left"/>
      </w:pPr>
      <w:r>
        <w:t xml:space="preserve">a </w:t>
      </w:r>
      <w:r w:rsidRPr="002A5A98">
        <w:t xml:space="preserve">long-stay tenant </w:t>
      </w:r>
      <w:r>
        <w:t>may</w:t>
      </w:r>
      <w:r w:rsidRPr="002A5A98">
        <w:t xml:space="preserve"> apply to the </w:t>
      </w:r>
      <w:r w:rsidR="00D970E3">
        <w:t>SA</w:t>
      </w:r>
      <w:r w:rsidR="00275B20">
        <w:t>T</w:t>
      </w:r>
      <w:r w:rsidRPr="002A5A98">
        <w:t xml:space="preserve"> for an order requiring the park operator to prepare a written long-stay agreement in</w:t>
      </w:r>
      <w:r w:rsidR="00D93D58">
        <w:t xml:space="preserve"> the</w:t>
      </w:r>
      <w:r w:rsidRPr="002A5A98">
        <w:t xml:space="preserve"> standard form or </w:t>
      </w:r>
      <w:r>
        <w:t xml:space="preserve">to </w:t>
      </w:r>
      <w:r w:rsidRPr="002A5A98">
        <w:t>determine the terms of the agreement</w:t>
      </w:r>
      <w:r w:rsidR="002F2477">
        <w:t>;</w:t>
      </w:r>
      <w:r w:rsidRPr="002474E7">
        <w:rPr>
          <w:vertAlign w:val="superscript"/>
        </w:rPr>
        <w:footnoteReference w:id="19"/>
      </w:r>
      <w:r w:rsidRPr="002474E7">
        <w:rPr>
          <w:vertAlign w:val="superscript"/>
        </w:rPr>
        <w:t xml:space="preserve"> </w:t>
      </w:r>
    </w:p>
    <w:p w14:paraId="7C994A1E" w14:textId="7BD9F265" w:rsidR="00215C31" w:rsidRDefault="00215C31" w:rsidP="0019309F">
      <w:pPr>
        <w:pStyle w:val="Bullet1"/>
        <w:jc w:val="left"/>
      </w:pPr>
      <w:r>
        <w:t>if a fixed</w:t>
      </w:r>
      <w:r w:rsidR="00F20BFB">
        <w:t>-</w:t>
      </w:r>
      <w:r>
        <w:t xml:space="preserve">term agreement ends, and the long-stay tenant continues to reside at the park, occupation of the site may be on the same terms as the agreement, unless modified by the </w:t>
      </w:r>
      <w:r w:rsidR="00D970E3">
        <w:t>S</w:t>
      </w:r>
      <w:r w:rsidR="00F20BFB">
        <w:t>A</w:t>
      </w:r>
      <w:r w:rsidR="00275B20">
        <w:t>T</w:t>
      </w:r>
      <w:r w:rsidR="002F2477">
        <w:t>;</w:t>
      </w:r>
      <w:r w:rsidRPr="002474E7">
        <w:rPr>
          <w:vertAlign w:val="superscript"/>
        </w:rPr>
        <w:footnoteReference w:id="20"/>
      </w:r>
    </w:p>
    <w:p w14:paraId="1FBD4B00" w14:textId="7334F5BD" w:rsidR="00215C31" w:rsidRDefault="00215C31" w:rsidP="0019309F">
      <w:pPr>
        <w:pStyle w:val="Bullet1"/>
        <w:jc w:val="left"/>
      </w:pPr>
      <w:r>
        <w:lastRenderedPageBreak/>
        <w:t>a fixed-term agreement is binding on a new owner of a park</w:t>
      </w:r>
      <w:r w:rsidR="002F2477">
        <w:t>;</w:t>
      </w:r>
      <w:r w:rsidRPr="002474E7">
        <w:rPr>
          <w:vertAlign w:val="superscript"/>
        </w:rPr>
        <w:footnoteReference w:id="21"/>
      </w:r>
      <w:r>
        <w:t xml:space="preserve"> and</w:t>
      </w:r>
    </w:p>
    <w:p w14:paraId="719C911B" w14:textId="51C446F9" w:rsidR="00D93D58" w:rsidRDefault="00D93D58" w:rsidP="0019309F">
      <w:pPr>
        <w:pStyle w:val="Bullet1"/>
        <w:jc w:val="left"/>
      </w:pPr>
      <w:r>
        <w:t>prior to the expiry of a fixed</w:t>
      </w:r>
      <w:r w:rsidR="00F20BFB">
        <w:t>-</w:t>
      </w:r>
      <w:r>
        <w:t xml:space="preserve">term agreement, </w:t>
      </w:r>
      <w:r w:rsidR="00215C31">
        <w:t xml:space="preserve">a park operator must give </w:t>
      </w:r>
      <w:r>
        <w:t>the</w:t>
      </w:r>
      <w:r w:rsidR="00215C31">
        <w:t xml:space="preserve"> tenant written notice stating </w:t>
      </w:r>
      <w:r w:rsidR="0060664F">
        <w:t xml:space="preserve">whether </w:t>
      </w:r>
      <w:r w:rsidR="00215C31">
        <w:t xml:space="preserve">the operator intends to renew or extend their agreement. </w:t>
      </w:r>
    </w:p>
    <w:p w14:paraId="7A090789" w14:textId="71E3AD46" w:rsidR="00F46124" w:rsidRDefault="00F46124" w:rsidP="0019309F">
      <w:pPr>
        <w:pStyle w:val="BodyText"/>
        <w:jc w:val="left"/>
      </w:pPr>
      <w:r>
        <w:t xml:space="preserve">These requirements do not apply to written fixed-term agreements </w:t>
      </w:r>
      <w:r w:rsidR="00112C5A">
        <w:t>in force</w:t>
      </w:r>
      <w:r>
        <w:t xml:space="preserve"> prior to</w:t>
      </w:r>
      <w:r w:rsidR="00112C5A">
        <w:t xml:space="preserve"> commencement of the</w:t>
      </w:r>
      <w:r>
        <w:t xml:space="preserve"> Act </w:t>
      </w:r>
      <w:r w:rsidR="00112C5A">
        <w:t xml:space="preserve">on 3 </w:t>
      </w:r>
      <w:r>
        <w:t>August 200</w:t>
      </w:r>
      <w:r w:rsidR="00112C5A">
        <w:t>7. However, they do apply</w:t>
      </w:r>
      <w:r>
        <w:t xml:space="preserve"> to all other agreemen</w:t>
      </w:r>
      <w:r w:rsidR="00837626">
        <w:t>ts made before or after commencement of the Act</w:t>
      </w:r>
      <w:r w:rsidR="00112C5A">
        <w:t xml:space="preserve"> including </w:t>
      </w:r>
      <w:r>
        <w:t>agreements made orally</w:t>
      </w:r>
      <w:r w:rsidR="002F2477">
        <w:t>.</w:t>
      </w:r>
      <w:r w:rsidR="00837626">
        <w:rPr>
          <w:rStyle w:val="FootnoteReference"/>
        </w:rPr>
        <w:footnoteReference w:id="22"/>
      </w:r>
    </w:p>
    <w:p w14:paraId="7377F68A" w14:textId="45A8EA6E" w:rsidR="00215C31" w:rsidRPr="000159BD" w:rsidRDefault="00215C31" w:rsidP="0019309F">
      <w:pPr>
        <w:pStyle w:val="Heading3"/>
        <w:jc w:val="left"/>
      </w:pPr>
      <w:bookmarkStart w:id="88" w:name="_Toc219207051"/>
      <w:bookmarkStart w:id="89" w:name="_Toc219884870"/>
      <w:bookmarkEnd w:id="88"/>
      <w:r>
        <w:t>Feedback</w:t>
      </w:r>
      <w:bookmarkEnd w:id="89"/>
      <w:r w:rsidR="00E01FB7">
        <w:t xml:space="preserve"> </w:t>
      </w:r>
    </w:p>
    <w:p w14:paraId="54A7F6B6" w14:textId="4C956E3C" w:rsidR="00D65044" w:rsidRDefault="00E01FB7" w:rsidP="0019309F">
      <w:pPr>
        <w:pStyle w:val="BodyText"/>
        <w:jc w:val="left"/>
      </w:pPr>
      <w:r>
        <w:t>LGIRS</w:t>
      </w:r>
      <w:r w:rsidR="0096436A">
        <w:t xml:space="preserve"> is seeking information on the </w:t>
      </w:r>
      <w:r w:rsidR="0086733C">
        <w:t xml:space="preserve">current </w:t>
      </w:r>
      <w:r w:rsidR="0096436A">
        <w:t>level of compliance with the requirement to have a written agreement</w:t>
      </w:r>
      <w:r w:rsidR="0086733C">
        <w:t>,</w:t>
      </w:r>
      <w:r w:rsidR="0096436A">
        <w:t xml:space="preserve"> and the reason</w:t>
      </w:r>
      <w:r w:rsidR="0086733C">
        <w:t>s</w:t>
      </w:r>
      <w:r w:rsidR="0096436A">
        <w:t xml:space="preserve"> why this may not occur.</w:t>
      </w:r>
    </w:p>
    <w:p w14:paraId="38E2208D" w14:textId="3CC37BB8" w:rsidR="00E079F5" w:rsidRPr="005A0A7F" w:rsidRDefault="00D65044" w:rsidP="0019309F">
      <w:pPr>
        <w:pStyle w:val="BodyText"/>
        <w:jc w:val="left"/>
      </w:pPr>
      <w:r w:rsidRPr="005A0A7F">
        <w:t xml:space="preserve">Feedback is also sought on whether standard form long-stay agreements, property condition reports and other forms </w:t>
      </w:r>
      <w:r w:rsidR="00E079F5" w:rsidRPr="005A0A7F">
        <w:t>are suitable</w:t>
      </w:r>
      <w:r w:rsidR="00AE3E04" w:rsidRPr="005A0A7F">
        <w:t xml:space="preserve">. Approved forms can be found </w:t>
      </w:r>
      <w:r w:rsidR="00E757A6">
        <w:t>on the Consumer Protection website.</w:t>
      </w:r>
      <w:r w:rsidR="00E757A6">
        <w:rPr>
          <w:rStyle w:val="FootnoteReference"/>
        </w:rPr>
        <w:footnoteReference w:id="23"/>
      </w:r>
    </w:p>
    <w:tbl>
      <w:tblPr>
        <w:tblStyle w:val="TableGrid"/>
        <w:tblW w:w="0" w:type="auto"/>
        <w:tblLook w:val="04A0" w:firstRow="1" w:lastRow="0" w:firstColumn="1" w:lastColumn="0" w:noHBand="0" w:noVBand="1"/>
      </w:tblPr>
      <w:tblGrid>
        <w:gridCol w:w="9010"/>
      </w:tblGrid>
      <w:tr w:rsidR="007E65E3" w:rsidRPr="005A0A7F" w14:paraId="4E60785E" w14:textId="77777777" w:rsidTr="007E65E3">
        <w:tc>
          <w:tcPr>
            <w:tcW w:w="9010" w:type="dxa"/>
          </w:tcPr>
          <w:p w14:paraId="2D17BEFF" w14:textId="7A3765BC" w:rsidR="007E65E3" w:rsidRPr="005622C9" w:rsidRDefault="007E65E3" w:rsidP="0019309F">
            <w:pPr>
              <w:rPr>
                <w:b/>
                <w:bCs/>
                <w:sz w:val="24"/>
              </w:rPr>
            </w:pPr>
            <w:r w:rsidRPr="005622C9">
              <w:rPr>
                <w:b/>
                <w:bCs/>
                <w:sz w:val="24"/>
              </w:rPr>
              <w:t>Consultation question</w:t>
            </w:r>
            <w:r w:rsidR="00000AA9" w:rsidRPr="005622C9">
              <w:rPr>
                <w:b/>
                <w:bCs/>
                <w:sz w:val="24"/>
              </w:rPr>
              <w:t>s</w:t>
            </w:r>
          </w:p>
          <w:p w14:paraId="6C96FEDB" w14:textId="02AF0E16" w:rsidR="007E65E3" w:rsidRPr="009C0A3C" w:rsidRDefault="00E01FB7" w:rsidP="0019309F">
            <w:pPr>
              <w:pStyle w:val="ListParagraph"/>
              <w:jc w:val="left"/>
              <w:rPr>
                <w:sz w:val="24"/>
                <w:szCs w:val="32"/>
              </w:rPr>
            </w:pPr>
            <w:r w:rsidRPr="009C0A3C">
              <w:rPr>
                <w:sz w:val="24"/>
                <w:szCs w:val="32"/>
              </w:rPr>
              <w:t xml:space="preserve">For tenants </w:t>
            </w:r>
            <w:r w:rsidR="0055767D">
              <w:rPr>
                <w:sz w:val="24"/>
                <w:szCs w:val="32"/>
              </w:rPr>
              <w:t>–</w:t>
            </w:r>
            <w:r w:rsidRPr="009C0A3C">
              <w:rPr>
                <w:sz w:val="24"/>
                <w:szCs w:val="32"/>
              </w:rPr>
              <w:t xml:space="preserve"> </w:t>
            </w:r>
            <w:r w:rsidR="003D4ABB">
              <w:rPr>
                <w:sz w:val="24"/>
                <w:szCs w:val="32"/>
              </w:rPr>
              <w:t>D</w:t>
            </w:r>
            <w:r w:rsidR="007E65E3" w:rsidRPr="009C0A3C">
              <w:rPr>
                <w:sz w:val="24"/>
                <w:szCs w:val="32"/>
              </w:rPr>
              <w:t>o you have a written lease agreement?</w:t>
            </w:r>
          </w:p>
          <w:p w14:paraId="77BC0B05" w14:textId="19629BDA" w:rsidR="007E65E3" w:rsidRPr="009C0A3C" w:rsidRDefault="00E01FB7" w:rsidP="0019309F">
            <w:pPr>
              <w:pStyle w:val="ListParagraph"/>
              <w:jc w:val="left"/>
              <w:rPr>
                <w:sz w:val="24"/>
                <w:szCs w:val="32"/>
              </w:rPr>
            </w:pPr>
            <w:r w:rsidRPr="009C0A3C">
              <w:rPr>
                <w:sz w:val="24"/>
                <w:szCs w:val="32"/>
              </w:rPr>
              <w:t xml:space="preserve">For operators </w:t>
            </w:r>
            <w:r w:rsidR="0055767D">
              <w:rPr>
                <w:sz w:val="24"/>
                <w:szCs w:val="32"/>
              </w:rPr>
              <w:t>–</w:t>
            </w:r>
            <w:r w:rsidR="007E65E3" w:rsidRPr="009C0A3C">
              <w:rPr>
                <w:sz w:val="24"/>
                <w:szCs w:val="32"/>
              </w:rPr>
              <w:t xml:space="preserve"> </w:t>
            </w:r>
            <w:r w:rsidR="003D4ABB">
              <w:rPr>
                <w:sz w:val="24"/>
                <w:szCs w:val="32"/>
              </w:rPr>
              <w:t>D</w:t>
            </w:r>
            <w:r w:rsidR="007E65E3" w:rsidRPr="009C0A3C">
              <w:rPr>
                <w:sz w:val="24"/>
                <w:szCs w:val="32"/>
              </w:rPr>
              <w:t>o all of your tenants have written lease agreement</w:t>
            </w:r>
            <w:r w:rsidRPr="009C0A3C">
              <w:rPr>
                <w:sz w:val="24"/>
                <w:szCs w:val="32"/>
              </w:rPr>
              <w:t>s</w:t>
            </w:r>
            <w:r w:rsidR="003F7731" w:rsidRPr="009C0A3C">
              <w:rPr>
                <w:sz w:val="24"/>
                <w:szCs w:val="32"/>
              </w:rPr>
              <w:t>?</w:t>
            </w:r>
          </w:p>
          <w:p w14:paraId="04CBBA84" w14:textId="4D5D78FF" w:rsidR="007E65E3" w:rsidRPr="009C0A3C" w:rsidRDefault="007E65E3" w:rsidP="0019309F">
            <w:pPr>
              <w:pStyle w:val="ListParagraph"/>
              <w:jc w:val="left"/>
              <w:rPr>
                <w:sz w:val="24"/>
                <w:szCs w:val="32"/>
              </w:rPr>
            </w:pPr>
            <w:r w:rsidRPr="009C0A3C">
              <w:rPr>
                <w:sz w:val="24"/>
                <w:szCs w:val="32"/>
              </w:rPr>
              <w:t xml:space="preserve">If you </w:t>
            </w:r>
            <w:r w:rsidR="005C3C0C" w:rsidRPr="009C0A3C">
              <w:rPr>
                <w:sz w:val="24"/>
                <w:szCs w:val="32"/>
              </w:rPr>
              <w:t>answered ‘no’ to question 7 or 8 above</w:t>
            </w:r>
            <w:r w:rsidR="00B26BE5" w:rsidRPr="009C0A3C">
              <w:rPr>
                <w:sz w:val="24"/>
                <w:szCs w:val="32"/>
              </w:rPr>
              <w:t xml:space="preserve">, has this caused any problems? How are rent increases </w:t>
            </w:r>
            <w:r w:rsidR="00E01FB7" w:rsidRPr="009C0A3C">
              <w:rPr>
                <w:sz w:val="24"/>
                <w:szCs w:val="32"/>
              </w:rPr>
              <w:t xml:space="preserve">and other </w:t>
            </w:r>
            <w:r w:rsidR="005C3C0C" w:rsidRPr="009C0A3C">
              <w:rPr>
                <w:sz w:val="24"/>
                <w:szCs w:val="32"/>
              </w:rPr>
              <w:t xml:space="preserve">key obligations </w:t>
            </w:r>
            <w:r w:rsidR="00E01FB7" w:rsidRPr="009C0A3C">
              <w:rPr>
                <w:sz w:val="24"/>
                <w:szCs w:val="32"/>
              </w:rPr>
              <w:t>determined</w:t>
            </w:r>
            <w:r w:rsidRPr="009C0A3C">
              <w:rPr>
                <w:sz w:val="24"/>
                <w:szCs w:val="32"/>
              </w:rPr>
              <w:t xml:space="preserve">? </w:t>
            </w:r>
          </w:p>
          <w:p w14:paraId="16BF11B4" w14:textId="15ACF9F4" w:rsidR="007E65E3" w:rsidRPr="009C0A3C" w:rsidRDefault="007E65E3" w:rsidP="0019309F">
            <w:pPr>
              <w:pStyle w:val="ListParagraph"/>
              <w:jc w:val="left"/>
              <w:rPr>
                <w:sz w:val="24"/>
                <w:szCs w:val="32"/>
              </w:rPr>
            </w:pPr>
            <w:r w:rsidRPr="009C0A3C">
              <w:rPr>
                <w:sz w:val="24"/>
                <w:szCs w:val="32"/>
              </w:rPr>
              <w:t>In your experience are approved forms</w:t>
            </w:r>
            <w:r w:rsidR="0055767D">
              <w:rPr>
                <w:sz w:val="24"/>
                <w:szCs w:val="32"/>
              </w:rPr>
              <w:t>,</w:t>
            </w:r>
            <w:r w:rsidRPr="009C0A3C">
              <w:rPr>
                <w:sz w:val="24"/>
                <w:szCs w:val="32"/>
              </w:rPr>
              <w:t xml:space="preserve"> such as standard form lease agreements, being widely used and are they effective?</w:t>
            </w:r>
          </w:p>
          <w:p w14:paraId="7D9814BC" w14:textId="418FB483" w:rsidR="007E65E3" w:rsidRPr="00D936A7" w:rsidRDefault="007E65E3" w:rsidP="0019309F">
            <w:pPr>
              <w:pStyle w:val="ListParagraph"/>
              <w:jc w:val="left"/>
            </w:pPr>
            <w:r w:rsidRPr="009C0A3C">
              <w:rPr>
                <w:sz w:val="24"/>
                <w:szCs w:val="32"/>
              </w:rPr>
              <w:t>Could standard lease agreements, property condition reports and other forms be improved? If so, how</w:t>
            </w:r>
            <w:r w:rsidR="003F7731" w:rsidRPr="009C0A3C">
              <w:rPr>
                <w:sz w:val="24"/>
                <w:szCs w:val="32"/>
              </w:rPr>
              <w:t>?</w:t>
            </w:r>
          </w:p>
        </w:tc>
      </w:tr>
      <w:bookmarkEnd w:id="14"/>
    </w:tbl>
    <w:p w14:paraId="124EF2BA" w14:textId="77777777" w:rsidR="00E351F0" w:rsidRDefault="00E351F0" w:rsidP="0019309F">
      <w:pPr>
        <w:spacing w:after="0" w:line="240" w:lineRule="auto"/>
        <w:rPr>
          <w:rFonts w:cs="Arial"/>
          <w:b/>
          <w:bCs/>
          <w:color w:val="38115E"/>
          <w:sz w:val="42"/>
          <w:szCs w:val="32"/>
        </w:rPr>
      </w:pPr>
      <w:r>
        <w:br w:type="page"/>
      </w:r>
    </w:p>
    <w:p w14:paraId="1534A1E3" w14:textId="7D21273D" w:rsidR="00C13A96" w:rsidRPr="00353F0B" w:rsidRDefault="008917BC" w:rsidP="0019309F">
      <w:pPr>
        <w:pStyle w:val="Heading1"/>
        <w:numPr>
          <w:ilvl w:val="0"/>
          <w:numId w:val="11"/>
        </w:numPr>
      </w:pPr>
      <w:bookmarkStart w:id="90" w:name="_Toc219884871"/>
      <w:r w:rsidRPr="00353F0B">
        <w:lastRenderedPageBreak/>
        <w:t xml:space="preserve">Living in a </w:t>
      </w:r>
      <w:r w:rsidR="0055767D">
        <w:t>p</w:t>
      </w:r>
      <w:r w:rsidRPr="00353F0B">
        <w:t>ark</w:t>
      </w:r>
      <w:bookmarkEnd w:id="90"/>
    </w:p>
    <w:p w14:paraId="2120A9C9" w14:textId="0CB28312" w:rsidR="00316B6B" w:rsidRPr="00B86034" w:rsidRDefault="005C3C0C" w:rsidP="0019309F">
      <w:pPr>
        <w:pStyle w:val="BodyText"/>
        <w:jc w:val="left"/>
      </w:pPr>
      <w:r w:rsidRPr="00B86034">
        <w:t>The Act sets out requirements in relation to aspects of park living including rent and other costs, maintenance and repairs, tenant and operator behaviour and dispute resolution.</w:t>
      </w:r>
    </w:p>
    <w:p w14:paraId="09BF5C05" w14:textId="179EDDA6" w:rsidR="00C13A96" w:rsidRDefault="00C065C5" w:rsidP="0019309F">
      <w:pPr>
        <w:pStyle w:val="Heading2"/>
        <w:jc w:val="left"/>
      </w:pPr>
      <w:bookmarkStart w:id="91" w:name="_Toc219207062"/>
      <w:bookmarkStart w:id="92" w:name="_Toc219207063"/>
      <w:bookmarkStart w:id="93" w:name="_Toc219207064"/>
      <w:bookmarkStart w:id="94" w:name="_Toc216807079"/>
      <w:bookmarkStart w:id="95" w:name="_Toc216807080"/>
      <w:bookmarkStart w:id="96" w:name="_Toc213322175"/>
      <w:bookmarkStart w:id="97" w:name="_Toc214547320"/>
      <w:bookmarkStart w:id="98" w:name="_Toc215579515"/>
      <w:bookmarkStart w:id="99" w:name="_Toc215579601"/>
      <w:bookmarkStart w:id="100" w:name="_Toc215579686"/>
      <w:bookmarkStart w:id="101" w:name="_Toc216807081"/>
      <w:bookmarkStart w:id="102" w:name="_Toc216807082"/>
      <w:bookmarkStart w:id="103" w:name="_Toc216807083"/>
      <w:bookmarkStart w:id="104" w:name="_Toc216807084"/>
      <w:bookmarkStart w:id="105" w:name="_Toc216807085"/>
      <w:bookmarkStart w:id="106" w:name="_Toc216807086"/>
      <w:bookmarkStart w:id="107" w:name="_Toc216807087"/>
      <w:bookmarkStart w:id="108" w:name="_Toc216807088"/>
      <w:bookmarkStart w:id="109" w:name="_Toc216807089"/>
      <w:bookmarkStart w:id="110" w:name="_Toc216807090"/>
      <w:bookmarkStart w:id="111" w:name="_Toc216807091"/>
      <w:bookmarkStart w:id="112" w:name="_Toc216807092"/>
      <w:bookmarkStart w:id="113" w:name="_Toc216807093"/>
      <w:bookmarkStart w:id="114" w:name="_Toc216807094"/>
      <w:bookmarkStart w:id="115" w:name="_Toc216807095"/>
      <w:bookmarkStart w:id="116" w:name="_Toc216807096"/>
      <w:bookmarkStart w:id="117" w:name="_Toc219884872"/>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r>
        <w:t xml:space="preserve">Rent </w:t>
      </w:r>
      <w:r w:rsidR="0034721F">
        <w:t>variation</w:t>
      </w:r>
      <w:bookmarkEnd w:id="117"/>
    </w:p>
    <w:p w14:paraId="2BFA3773" w14:textId="53C02785" w:rsidR="00043941" w:rsidRPr="00121DA8" w:rsidRDefault="00750483" w:rsidP="0019309F">
      <w:pPr>
        <w:pStyle w:val="BodyText"/>
        <w:jc w:val="left"/>
      </w:pPr>
      <w:r>
        <w:t xml:space="preserve">A written long-stay agreement </w:t>
      </w:r>
      <w:r w:rsidR="00135A12">
        <w:t xml:space="preserve">must </w:t>
      </w:r>
      <w:r>
        <w:t xml:space="preserve">outline the </w:t>
      </w:r>
      <w:r w:rsidR="00473DF4">
        <w:t>rent</w:t>
      </w:r>
      <w:r>
        <w:t xml:space="preserve"> payable by a long-stay tenant to an operator and the basis </w:t>
      </w:r>
      <w:r w:rsidR="00EA33BA">
        <w:t>on which</w:t>
      </w:r>
      <w:r>
        <w:t xml:space="preserve"> </w:t>
      </w:r>
      <w:r w:rsidR="00296C17">
        <w:t xml:space="preserve">the </w:t>
      </w:r>
      <w:r w:rsidR="00473DF4">
        <w:t>rent may</w:t>
      </w:r>
      <w:r w:rsidR="00EA33BA">
        <w:t xml:space="preserve"> </w:t>
      </w:r>
      <w:r>
        <w:t>change</w:t>
      </w:r>
      <w:r w:rsidR="00296C17">
        <w:t xml:space="preserve"> over time</w:t>
      </w:r>
      <w:r>
        <w:t xml:space="preserve">. </w:t>
      </w:r>
    </w:p>
    <w:p w14:paraId="02A74199" w14:textId="43DC3AF6" w:rsidR="00750483" w:rsidRPr="000159BD" w:rsidRDefault="00750483" w:rsidP="0019309F">
      <w:pPr>
        <w:pStyle w:val="Heading3"/>
        <w:jc w:val="left"/>
      </w:pPr>
      <w:bookmarkStart w:id="118" w:name="_Toc219884873"/>
      <w:r w:rsidRPr="000159BD">
        <w:t>Issues</w:t>
      </w:r>
      <w:bookmarkEnd w:id="118"/>
    </w:p>
    <w:p w14:paraId="658C3B49" w14:textId="2C4703B1" w:rsidR="00750483" w:rsidRDefault="00750483" w:rsidP="0019309F">
      <w:pPr>
        <w:pStyle w:val="BodyText"/>
        <w:jc w:val="left"/>
      </w:pPr>
      <w:r>
        <w:t>Issues around rent commonly occu</w:t>
      </w:r>
      <w:r w:rsidR="00595C9C">
        <w:t>r</w:t>
      </w:r>
      <w:r>
        <w:t xml:space="preserve"> when the operator provides notice to a long-stay tenant of an upcoming</w:t>
      </w:r>
      <w:r w:rsidR="00595C9C">
        <w:t xml:space="preserve"> rent</w:t>
      </w:r>
      <w:r>
        <w:t xml:space="preserve"> increase. </w:t>
      </w:r>
      <w:r w:rsidR="005B472F">
        <w:t>The</w:t>
      </w:r>
      <w:r w:rsidR="00595C9C">
        <w:t xml:space="preserve"> </w:t>
      </w:r>
      <w:r>
        <w:t>increase</w:t>
      </w:r>
      <w:r w:rsidR="00595C9C">
        <w:t xml:space="preserve"> </w:t>
      </w:r>
      <w:r w:rsidR="005B472F">
        <w:t>may be</w:t>
      </w:r>
      <w:r>
        <w:t xml:space="preserve"> larger than expected </w:t>
      </w:r>
      <w:r w:rsidR="00353F0B">
        <w:t xml:space="preserve">or </w:t>
      </w:r>
      <w:r w:rsidR="00296C17">
        <w:t>the notice may not explain the reason for the increase or how it is calculated.</w:t>
      </w:r>
    </w:p>
    <w:p w14:paraId="6F5CDDB9" w14:textId="1F61A671" w:rsidR="00750483" w:rsidRPr="000159BD" w:rsidRDefault="00750483" w:rsidP="0019309F">
      <w:pPr>
        <w:pStyle w:val="Heading3"/>
        <w:jc w:val="left"/>
      </w:pPr>
      <w:bookmarkStart w:id="119" w:name="_Toc215579521"/>
      <w:bookmarkStart w:id="120" w:name="_Toc215579607"/>
      <w:bookmarkStart w:id="121" w:name="_Toc215579692"/>
      <w:bookmarkStart w:id="122" w:name="_Toc214547326"/>
      <w:bookmarkStart w:id="123" w:name="_Toc215579522"/>
      <w:bookmarkStart w:id="124" w:name="_Toc215579608"/>
      <w:bookmarkStart w:id="125" w:name="_Toc215579693"/>
      <w:bookmarkStart w:id="126" w:name="_Toc214547327"/>
      <w:bookmarkStart w:id="127" w:name="_Toc215579523"/>
      <w:bookmarkStart w:id="128" w:name="_Toc215579609"/>
      <w:bookmarkStart w:id="129" w:name="_Toc215579694"/>
      <w:bookmarkStart w:id="130" w:name="_Toc219884874"/>
      <w:bookmarkEnd w:id="119"/>
      <w:bookmarkEnd w:id="120"/>
      <w:bookmarkEnd w:id="121"/>
      <w:bookmarkEnd w:id="122"/>
      <w:bookmarkEnd w:id="123"/>
      <w:bookmarkEnd w:id="124"/>
      <w:bookmarkEnd w:id="125"/>
      <w:bookmarkEnd w:id="126"/>
      <w:bookmarkEnd w:id="127"/>
      <w:bookmarkEnd w:id="128"/>
      <w:bookmarkEnd w:id="129"/>
      <w:r w:rsidRPr="000159BD">
        <w:t>Current requirements</w:t>
      </w:r>
      <w:bookmarkEnd w:id="130"/>
    </w:p>
    <w:p w14:paraId="2BB2C200" w14:textId="77777777" w:rsidR="00296C17" w:rsidRDefault="00ED1B78" w:rsidP="0019309F">
      <w:pPr>
        <w:pStyle w:val="BodyText"/>
        <w:jc w:val="left"/>
      </w:pPr>
      <w:r>
        <w:t xml:space="preserve">For all long-stay agreements entered into </w:t>
      </w:r>
      <w:r w:rsidR="005E2AC7">
        <w:t>on or after</w:t>
      </w:r>
      <w:r>
        <w:t xml:space="preserve"> 31 January 2022,</w:t>
      </w:r>
      <w:r w:rsidR="00750483">
        <w:t xml:space="preserve"> rent can only be increased in accordance with a single mechanism or basis as outlined in the long-stay agreement, such as </w:t>
      </w:r>
      <w:r w:rsidR="00296C17">
        <w:t xml:space="preserve">indexation to </w:t>
      </w:r>
      <w:r w:rsidR="00750483">
        <w:t>the Consumer Price Index</w:t>
      </w:r>
      <w:r w:rsidR="008106DA">
        <w:t xml:space="preserve"> (CPI)</w:t>
      </w:r>
      <w:r w:rsidR="00750483">
        <w:t xml:space="preserve"> WA.</w:t>
      </w:r>
      <w:r w:rsidR="003E548F">
        <w:t xml:space="preserve"> A different mechanism can be applied at different review dates if agreed by the parties.</w:t>
      </w:r>
    </w:p>
    <w:p w14:paraId="480A9172" w14:textId="47AE46AB" w:rsidR="000379E4" w:rsidRDefault="000379E4" w:rsidP="0019309F">
      <w:pPr>
        <w:pStyle w:val="BodyText"/>
        <w:jc w:val="left"/>
      </w:pPr>
      <w:r>
        <w:t xml:space="preserve">For long-stay agreements entered </w:t>
      </w:r>
      <w:r w:rsidR="0082293E">
        <w:t xml:space="preserve">into </w:t>
      </w:r>
      <w:r>
        <w:t>before 31 January</w:t>
      </w:r>
      <w:r w:rsidR="00915EA3">
        <w:t xml:space="preserve"> 2022,</w:t>
      </w:r>
      <w:r>
        <w:t xml:space="preserve"> rent may be increased </w:t>
      </w:r>
      <w:r w:rsidR="0082293E">
        <w:t xml:space="preserve">by an operator </w:t>
      </w:r>
      <w:r>
        <w:t>based on</w:t>
      </w:r>
      <w:r w:rsidR="00AF4115">
        <w:t xml:space="preserve"> </w:t>
      </w:r>
      <w:r>
        <w:t xml:space="preserve">market rent </w:t>
      </w:r>
      <w:r w:rsidR="0082293E">
        <w:t>once the operator has regard to a report from a licensed property valuer</w:t>
      </w:r>
      <w:r w:rsidR="002F2477">
        <w:t>.</w:t>
      </w:r>
      <w:r w:rsidR="00EA33BA">
        <w:rPr>
          <w:rStyle w:val="FootnoteReference"/>
        </w:rPr>
        <w:footnoteReference w:id="24"/>
      </w:r>
      <w:r w:rsidR="0082293E">
        <w:t xml:space="preserve"> ‘Market rent’ is </w:t>
      </w:r>
      <w:r>
        <w:t>the rent the property would command on the open market</w:t>
      </w:r>
      <w:r w:rsidR="0082293E">
        <w:t xml:space="preserve"> and has the potential to increase substantially.</w:t>
      </w:r>
      <w:r w:rsidR="00C30E41">
        <w:t xml:space="preserve"> </w:t>
      </w:r>
      <w:r w:rsidR="0082293E">
        <w:t xml:space="preserve">Stakeholders may want to consider </w:t>
      </w:r>
      <w:r w:rsidR="00DF11E4">
        <w:t xml:space="preserve">whether </w:t>
      </w:r>
      <w:r w:rsidR="0082293E">
        <w:t xml:space="preserve">it is appropriate that rent under these </w:t>
      </w:r>
      <w:r w:rsidR="00AF4115">
        <w:t xml:space="preserve">older </w:t>
      </w:r>
      <w:r w:rsidR="0082293E">
        <w:t xml:space="preserve">agreements </w:t>
      </w:r>
      <w:r w:rsidR="00915EA3">
        <w:t>should</w:t>
      </w:r>
      <w:r w:rsidR="0082293E">
        <w:t xml:space="preserve"> continue to</w:t>
      </w:r>
      <w:r w:rsidR="00915EA3">
        <w:t xml:space="preserve"> be able to</w:t>
      </w:r>
      <w:r w:rsidR="0082293E">
        <w:t xml:space="preserve"> increase using a market rent mechanism</w:t>
      </w:r>
      <w:r w:rsidR="00915EA3">
        <w:t xml:space="preserve"> or, alternatively, market rent reviews should be prohibited</w:t>
      </w:r>
      <w:r w:rsidR="00557120">
        <w:t xml:space="preserve"> for all long-stay agreements.</w:t>
      </w:r>
    </w:p>
    <w:p w14:paraId="1F11D1C5" w14:textId="3C63B1C1" w:rsidR="00ED1FB3" w:rsidRDefault="0069479D" w:rsidP="0019309F">
      <w:pPr>
        <w:pStyle w:val="BodyText"/>
        <w:jc w:val="left"/>
      </w:pPr>
      <w:r>
        <w:t xml:space="preserve">Rent cannot be increased by a park operator if the long-stay agreement does not </w:t>
      </w:r>
      <w:r w:rsidR="00E351F0">
        <w:t xml:space="preserve">allow for </w:t>
      </w:r>
      <w:r>
        <w:t>a rent variation.</w:t>
      </w:r>
    </w:p>
    <w:p w14:paraId="65785586" w14:textId="77777777" w:rsidR="00353F0B" w:rsidRDefault="00353F0B" w:rsidP="0019309F">
      <w:pPr>
        <w:pStyle w:val="BodyText"/>
        <w:jc w:val="left"/>
      </w:pPr>
      <w:r>
        <w:t xml:space="preserve">The Act requires the operator to provide long-stay tenants with written notice specifying the amount of the variation and the day the varied rent becomes payable. </w:t>
      </w:r>
    </w:p>
    <w:p w14:paraId="5475DBBB" w14:textId="0CE99A27" w:rsidR="00353F0B" w:rsidRDefault="00353F0B" w:rsidP="0019309F">
      <w:pPr>
        <w:pStyle w:val="BodyText"/>
        <w:jc w:val="left"/>
      </w:pPr>
      <w:r>
        <w:t>Rent cannot increase more than once every 12 months for site-only agreements and once every 6 months for on-site home agreements.</w:t>
      </w:r>
      <w:r>
        <w:rPr>
          <w:rStyle w:val="FootnoteReference"/>
        </w:rPr>
        <w:footnoteReference w:id="25"/>
      </w:r>
      <w:r>
        <w:t xml:space="preserve"> The </w:t>
      </w:r>
      <w:r w:rsidR="00E13CAE" w:rsidRPr="00B23C32">
        <w:t>RTA</w:t>
      </w:r>
      <w:r>
        <w:t xml:space="preserve"> has recently been amended restricting rent increases for all tenancies to not more than once every 12 months, an amendment of this nature may also be warranted for tenants with on-site home agreements in residential parks</w:t>
      </w:r>
      <w:r w:rsidR="002F2477">
        <w:t>.</w:t>
      </w:r>
      <w:r>
        <w:rPr>
          <w:rStyle w:val="FootnoteReference"/>
        </w:rPr>
        <w:footnoteReference w:id="26"/>
      </w:r>
    </w:p>
    <w:p w14:paraId="31A9584A" w14:textId="3FDC88D2" w:rsidR="0034721F" w:rsidRDefault="00750483" w:rsidP="0019309F">
      <w:pPr>
        <w:pStyle w:val="BodyText"/>
        <w:jc w:val="left"/>
      </w:pPr>
      <w:r>
        <w:lastRenderedPageBreak/>
        <w:t>The basis on which rent is increased may not be easily understood by</w:t>
      </w:r>
      <w:r w:rsidR="00E351F0">
        <w:t xml:space="preserve"> long-stay </w:t>
      </w:r>
      <w:r>
        <w:t xml:space="preserve">tenants </w:t>
      </w:r>
      <w:r w:rsidR="000F19D7">
        <w:t xml:space="preserve">and </w:t>
      </w:r>
      <w:r w:rsidR="00AF4115">
        <w:t xml:space="preserve">comparing </w:t>
      </w:r>
      <w:r w:rsidR="000F19D7">
        <w:t xml:space="preserve">an increase </w:t>
      </w:r>
      <w:r w:rsidR="00AF4115">
        <w:t xml:space="preserve">with </w:t>
      </w:r>
      <w:r w:rsidR="000F19D7">
        <w:t xml:space="preserve">the </w:t>
      </w:r>
      <w:r w:rsidR="0034721F">
        <w:t xml:space="preserve">rent variation provisions </w:t>
      </w:r>
      <w:r w:rsidR="0069479D">
        <w:t>in the</w:t>
      </w:r>
      <w:r w:rsidR="0064627D">
        <w:t>ir</w:t>
      </w:r>
      <w:r w:rsidR="0069479D">
        <w:t xml:space="preserve"> long-stay agreement </w:t>
      </w:r>
      <w:r w:rsidR="000F19D7">
        <w:t>can be difficult</w:t>
      </w:r>
      <w:r>
        <w:t xml:space="preserve">. </w:t>
      </w:r>
      <w:r w:rsidR="0064627D">
        <w:t>To improve transparency, p</w:t>
      </w:r>
      <w:r w:rsidR="007901A5">
        <w:t xml:space="preserve">rior to a long-stay tenant signing an agreement, a park operator must provide worked examples of </w:t>
      </w:r>
      <w:r w:rsidR="0064627D">
        <w:t>future r</w:t>
      </w:r>
      <w:r w:rsidR="007901A5">
        <w:t>ent increases to prospective tenants in</w:t>
      </w:r>
      <w:r w:rsidR="0064627D">
        <w:t xml:space="preserve"> its</w:t>
      </w:r>
      <w:r w:rsidR="007901A5">
        <w:t xml:space="preserve"> mandatory Disclosure Statement.</w:t>
      </w:r>
    </w:p>
    <w:p w14:paraId="0FFCA2CB" w14:textId="3055637D" w:rsidR="008106DA" w:rsidRDefault="00750483" w:rsidP="0019309F">
      <w:pPr>
        <w:pStyle w:val="BodyText"/>
        <w:jc w:val="left"/>
      </w:pPr>
      <w:r>
        <w:t xml:space="preserve">Queensland </w:t>
      </w:r>
      <w:r w:rsidR="00C65BE7">
        <w:t xml:space="preserve">(QLD) </w:t>
      </w:r>
      <w:r>
        <w:t xml:space="preserve">park operators are required to outline how the amount of the proposed </w:t>
      </w:r>
      <w:r w:rsidR="0064627D">
        <w:t xml:space="preserve">rent </w:t>
      </w:r>
      <w:r>
        <w:t>increase was worked out</w:t>
      </w:r>
      <w:r w:rsidR="002F2477">
        <w:t>.</w:t>
      </w:r>
      <w:r w:rsidR="0034721F">
        <w:rPr>
          <w:rStyle w:val="FootnoteReference"/>
        </w:rPr>
        <w:footnoteReference w:id="27"/>
      </w:r>
      <w:r w:rsidR="0034721F">
        <w:t xml:space="preserve"> In addition, t</w:t>
      </w:r>
      <w:r w:rsidR="00F64EB6">
        <w:t xml:space="preserve">he agreement </w:t>
      </w:r>
      <w:r w:rsidR="00AF4115">
        <w:t>must</w:t>
      </w:r>
      <w:r w:rsidR="00F64EB6">
        <w:t xml:space="preserve"> </w:t>
      </w:r>
      <w:r w:rsidR="0034721F">
        <w:t xml:space="preserve">clearly </w:t>
      </w:r>
      <w:r w:rsidR="00F64EB6">
        <w:t xml:space="preserve">specify the rent review mechanism that applies, for example, the specific </w:t>
      </w:r>
      <w:r w:rsidR="0034721F">
        <w:t xml:space="preserve">CPI </w:t>
      </w:r>
      <w:r w:rsidR="00F64EB6">
        <w:t>index</w:t>
      </w:r>
      <w:r w:rsidR="002F2477">
        <w:t>.</w:t>
      </w:r>
      <w:r w:rsidR="00F82F8F">
        <w:rPr>
          <w:rStyle w:val="FootnoteReference"/>
        </w:rPr>
        <w:footnoteReference w:id="28"/>
      </w:r>
      <w:r w:rsidR="008106DA">
        <w:t xml:space="preserve"> </w:t>
      </w:r>
    </w:p>
    <w:p w14:paraId="1846ACC2" w14:textId="25A75C8A" w:rsidR="00750483" w:rsidRPr="000159BD" w:rsidRDefault="00A65CC0" w:rsidP="0019309F">
      <w:pPr>
        <w:pStyle w:val="Heading3"/>
        <w:jc w:val="left"/>
      </w:pPr>
      <w:bookmarkStart w:id="131" w:name="_Toc214547329"/>
      <w:bookmarkStart w:id="132" w:name="_Toc215579525"/>
      <w:bookmarkStart w:id="133" w:name="_Toc215579611"/>
      <w:bookmarkStart w:id="134" w:name="_Toc215579696"/>
      <w:bookmarkStart w:id="135" w:name="_Toc219884875"/>
      <w:bookmarkEnd w:id="131"/>
      <w:bookmarkEnd w:id="132"/>
      <w:bookmarkEnd w:id="133"/>
      <w:bookmarkEnd w:id="134"/>
      <w:r>
        <w:t>Feedback</w:t>
      </w:r>
      <w:bookmarkEnd w:id="135"/>
    </w:p>
    <w:p w14:paraId="64E5C0AE" w14:textId="26B6B255" w:rsidR="00011370" w:rsidRDefault="000F326C" w:rsidP="0019309F">
      <w:pPr>
        <w:pStyle w:val="BodyText"/>
        <w:jc w:val="left"/>
      </w:pPr>
      <w:r>
        <w:t xml:space="preserve">LGIRS </w:t>
      </w:r>
      <w:r w:rsidR="00750483">
        <w:t xml:space="preserve">is interested to </w:t>
      </w:r>
      <w:r w:rsidR="00AF4115">
        <w:t xml:space="preserve">understand </w:t>
      </w:r>
      <w:r w:rsidR="0038466F">
        <w:t xml:space="preserve">the </w:t>
      </w:r>
      <w:r w:rsidR="00AF4115">
        <w:t xml:space="preserve">current practices for </w:t>
      </w:r>
      <w:r w:rsidR="0034721F">
        <w:t xml:space="preserve">varying </w:t>
      </w:r>
      <w:r w:rsidR="00AF4115">
        <w:t>rent, whether</w:t>
      </w:r>
      <w:r w:rsidR="00665FD1">
        <w:t xml:space="preserve"> </w:t>
      </w:r>
      <w:r w:rsidR="008106DA">
        <w:t xml:space="preserve">the </w:t>
      </w:r>
      <w:r w:rsidR="0046749B">
        <w:t xml:space="preserve">current requirements </w:t>
      </w:r>
      <w:r w:rsidR="00B25A76">
        <w:t xml:space="preserve">are satisfactory and </w:t>
      </w:r>
      <w:r w:rsidR="008106DA">
        <w:t xml:space="preserve">if any </w:t>
      </w:r>
      <w:r w:rsidR="00DF11E4">
        <w:t xml:space="preserve">change </w:t>
      </w:r>
      <w:r w:rsidR="008106DA">
        <w:t>is required.</w:t>
      </w:r>
    </w:p>
    <w:tbl>
      <w:tblPr>
        <w:tblStyle w:val="TableGrid"/>
        <w:tblW w:w="8926" w:type="dxa"/>
        <w:tblLook w:val="04A0" w:firstRow="1" w:lastRow="0" w:firstColumn="1" w:lastColumn="0" w:noHBand="0" w:noVBand="1"/>
      </w:tblPr>
      <w:tblGrid>
        <w:gridCol w:w="8926"/>
      </w:tblGrid>
      <w:tr w:rsidR="000524C5" w:rsidRPr="00054612" w14:paraId="1A2D81DE" w14:textId="77777777" w:rsidTr="00054612">
        <w:tc>
          <w:tcPr>
            <w:tcW w:w="8926" w:type="dxa"/>
          </w:tcPr>
          <w:p w14:paraId="1247974B" w14:textId="2482C08B" w:rsidR="000524C5" w:rsidRPr="005622C9" w:rsidRDefault="000524C5" w:rsidP="0019309F">
            <w:pPr>
              <w:pStyle w:val="BodyText"/>
              <w:jc w:val="left"/>
            </w:pPr>
            <w:r w:rsidRPr="003F7731">
              <w:rPr>
                <w:b/>
                <w:bCs/>
                <w:sz w:val="24"/>
                <w:szCs w:val="28"/>
              </w:rPr>
              <w:t>Consultation question</w:t>
            </w:r>
            <w:r w:rsidR="003F7731">
              <w:rPr>
                <w:b/>
                <w:bCs/>
                <w:sz w:val="24"/>
                <w:szCs w:val="28"/>
              </w:rPr>
              <w:t>s</w:t>
            </w:r>
          </w:p>
          <w:p w14:paraId="0D161AC8" w14:textId="77777777" w:rsidR="000524C5" w:rsidRPr="009C0A3C" w:rsidRDefault="000524C5" w:rsidP="0019309F">
            <w:pPr>
              <w:pStyle w:val="ListParagraph"/>
              <w:jc w:val="left"/>
              <w:rPr>
                <w:sz w:val="24"/>
                <w:szCs w:val="32"/>
              </w:rPr>
            </w:pPr>
            <w:r w:rsidRPr="009C0A3C">
              <w:rPr>
                <w:sz w:val="24"/>
                <w:szCs w:val="32"/>
              </w:rPr>
              <w:t>Does your long-stay agreement clearly outline the basis on which rent may be increased?</w:t>
            </w:r>
          </w:p>
          <w:p w14:paraId="4BB4A2EB" w14:textId="0C913369" w:rsidR="000524C5" w:rsidRPr="009C0A3C" w:rsidRDefault="000524C5" w:rsidP="0019309F">
            <w:pPr>
              <w:pStyle w:val="ListParagraph"/>
              <w:jc w:val="left"/>
              <w:rPr>
                <w:sz w:val="24"/>
                <w:szCs w:val="32"/>
              </w:rPr>
            </w:pPr>
            <w:r w:rsidRPr="009C0A3C">
              <w:rPr>
                <w:sz w:val="24"/>
                <w:szCs w:val="32"/>
              </w:rPr>
              <w:t>When rent is varied,</w:t>
            </w:r>
            <w:r w:rsidR="009E3041" w:rsidRPr="009C0A3C">
              <w:rPr>
                <w:sz w:val="24"/>
                <w:szCs w:val="32"/>
              </w:rPr>
              <w:t xml:space="preserve"> what</w:t>
            </w:r>
            <w:r w:rsidRPr="009C0A3C">
              <w:rPr>
                <w:sz w:val="24"/>
                <w:szCs w:val="32"/>
              </w:rPr>
              <w:t xml:space="preserve"> is the basis for the change outlined in the notice of variation?</w:t>
            </w:r>
          </w:p>
          <w:p w14:paraId="6BDAF64C" w14:textId="77777777" w:rsidR="000524C5" w:rsidRPr="009C0A3C" w:rsidRDefault="000524C5" w:rsidP="0019309F">
            <w:pPr>
              <w:pStyle w:val="ListParagraph"/>
              <w:jc w:val="left"/>
              <w:rPr>
                <w:sz w:val="24"/>
                <w:szCs w:val="32"/>
              </w:rPr>
            </w:pPr>
            <w:r w:rsidRPr="009C0A3C">
              <w:rPr>
                <w:sz w:val="24"/>
                <w:szCs w:val="32"/>
              </w:rPr>
              <w:t xml:space="preserve">Do you have a long stay agreement entered into before 31 January 2022 with a market rent review provision? </w:t>
            </w:r>
          </w:p>
          <w:p w14:paraId="103B985D" w14:textId="51E25847" w:rsidR="000524C5" w:rsidRPr="009C0A3C" w:rsidRDefault="000524C5" w:rsidP="0019309F">
            <w:pPr>
              <w:pStyle w:val="ListParagraph"/>
              <w:jc w:val="left"/>
              <w:rPr>
                <w:sz w:val="24"/>
                <w:szCs w:val="32"/>
              </w:rPr>
            </w:pPr>
            <w:r w:rsidRPr="009C0A3C">
              <w:rPr>
                <w:sz w:val="24"/>
                <w:szCs w:val="32"/>
              </w:rPr>
              <w:t xml:space="preserve">Should market rent reviews be prohibited for all long-stay agreements? </w:t>
            </w:r>
            <w:r w:rsidR="00633CCE" w:rsidRPr="009C0A3C">
              <w:rPr>
                <w:sz w:val="24"/>
                <w:szCs w:val="32"/>
              </w:rPr>
              <w:t>Why?</w:t>
            </w:r>
          </w:p>
          <w:p w14:paraId="6270BDC8" w14:textId="63FAFFCE" w:rsidR="000524C5" w:rsidRPr="00D936A7" w:rsidRDefault="000524C5" w:rsidP="0019309F">
            <w:pPr>
              <w:pStyle w:val="ListParagraph"/>
              <w:jc w:val="left"/>
            </w:pPr>
            <w:r w:rsidRPr="009C0A3C">
              <w:rPr>
                <w:sz w:val="24"/>
                <w:szCs w:val="32"/>
              </w:rPr>
              <w:t>Should rent increases be limited to once per year for on-site homes as is currently the case for site-only agreements</w:t>
            </w:r>
            <w:r w:rsidR="003F7731" w:rsidRPr="009C0A3C">
              <w:rPr>
                <w:sz w:val="24"/>
                <w:szCs w:val="32"/>
              </w:rPr>
              <w:t>?</w:t>
            </w:r>
          </w:p>
        </w:tc>
      </w:tr>
    </w:tbl>
    <w:p w14:paraId="6D14798C" w14:textId="56D67312" w:rsidR="00500E33" w:rsidRDefault="008C6570" w:rsidP="0019309F">
      <w:pPr>
        <w:pStyle w:val="Heading2"/>
        <w:jc w:val="left"/>
      </w:pPr>
      <w:bookmarkStart w:id="136" w:name="_Toc219207069"/>
      <w:bookmarkStart w:id="137" w:name="_Toc219207070"/>
      <w:bookmarkStart w:id="138" w:name="_Toc219207071"/>
      <w:bookmarkStart w:id="139" w:name="_Toc219207072"/>
      <w:bookmarkStart w:id="140" w:name="_Toc219207073"/>
      <w:bookmarkStart w:id="141" w:name="_Toc219207074"/>
      <w:bookmarkStart w:id="142" w:name="_Toc219207075"/>
      <w:bookmarkStart w:id="143" w:name="_Toc219884876"/>
      <w:bookmarkEnd w:id="136"/>
      <w:bookmarkEnd w:id="137"/>
      <w:bookmarkEnd w:id="138"/>
      <w:bookmarkEnd w:id="139"/>
      <w:bookmarkEnd w:id="140"/>
      <w:bookmarkEnd w:id="141"/>
      <w:bookmarkEnd w:id="142"/>
      <w:r>
        <w:t xml:space="preserve">Fees and </w:t>
      </w:r>
      <w:r w:rsidR="00482898">
        <w:t>c</w:t>
      </w:r>
      <w:r>
        <w:t>harges</w:t>
      </w:r>
      <w:bookmarkEnd w:id="143"/>
    </w:p>
    <w:p w14:paraId="1AB9A229" w14:textId="237510B5" w:rsidR="00E351F0" w:rsidRDefault="008F2C52" w:rsidP="0019309F">
      <w:pPr>
        <w:pStyle w:val="BodyText"/>
        <w:jc w:val="left"/>
      </w:pPr>
      <w:r>
        <w:t>A written long-stay agreement must outline the fees payable by a long-stay tenant to an operator</w:t>
      </w:r>
      <w:r w:rsidR="00E351F0">
        <w:t xml:space="preserve"> that are</w:t>
      </w:r>
      <w:r>
        <w:t xml:space="preserve"> in addition to rent.</w:t>
      </w:r>
      <w:r w:rsidR="006C003E">
        <w:t xml:space="preserve"> </w:t>
      </w:r>
      <w:r w:rsidR="0064627D">
        <w:t>Fees not included in a long-stay agreement cannot be charged by the park operator</w:t>
      </w:r>
      <w:r w:rsidR="002F2477">
        <w:t>.</w:t>
      </w:r>
      <w:r w:rsidR="000739D7">
        <w:rPr>
          <w:rStyle w:val="FootnoteReference"/>
        </w:rPr>
        <w:footnoteReference w:id="29"/>
      </w:r>
      <w:r w:rsidR="00E351F0" w:rsidRPr="00E351F0">
        <w:t xml:space="preserve"> </w:t>
      </w:r>
      <w:r w:rsidR="00E351F0">
        <w:t>The Regulations list the types of fees that may be included in an agreement.</w:t>
      </w:r>
    </w:p>
    <w:p w14:paraId="39396A55" w14:textId="525AF93A" w:rsidR="008F2C52" w:rsidRDefault="008F2C52" w:rsidP="0019309F">
      <w:pPr>
        <w:pStyle w:val="Heading3"/>
        <w:jc w:val="left"/>
      </w:pPr>
      <w:bookmarkStart w:id="144" w:name="_Toc219884877"/>
      <w:r>
        <w:t>Issues</w:t>
      </w:r>
      <w:bookmarkEnd w:id="144"/>
    </w:p>
    <w:p w14:paraId="2A877D47" w14:textId="71FAB070" w:rsidR="000041FD" w:rsidRDefault="000041FD" w:rsidP="0019309F">
      <w:pPr>
        <w:pStyle w:val="BodyText"/>
        <w:jc w:val="left"/>
      </w:pPr>
      <w:r>
        <w:t>Issues</w:t>
      </w:r>
      <w:r w:rsidR="00004592">
        <w:t xml:space="preserve"> commonly</w:t>
      </w:r>
      <w:r>
        <w:t xml:space="preserve"> </w:t>
      </w:r>
      <w:r w:rsidR="00F017BE">
        <w:t xml:space="preserve">arise </w:t>
      </w:r>
      <w:r>
        <w:t xml:space="preserve">around </w:t>
      </w:r>
      <w:r w:rsidR="00E351F0">
        <w:t xml:space="preserve">the charging by the park operator of fees. </w:t>
      </w:r>
      <w:r w:rsidR="006F143C">
        <w:t>The</w:t>
      </w:r>
      <w:r w:rsidR="00FE7C8C">
        <w:t>se fees may not be permissible</w:t>
      </w:r>
      <w:r w:rsidR="00C65BE7">
        <w:t>,</w:t>
      </w:r>
      <w:r w:rsidR="00FE7C8C">
        <w:t xml:space="preserve"> or the</w:t>
      </w:r>
      <w:r w:rsidR="006F143C">
        <w:t xml:space="preserve"> basis </w:t>
      </w:r>
      <w:r w:rsidR="00DF7F1D">
        <w:t xml:space="preserve">on which these fees may </w:t>
      </w:r>
      <w:r w:rsidR="00E7296C">
        <w:t xml:space="preserve">be </w:t>
      </w:r>
      <w:r w:rsidR="00DF7F1D">
        <w:t>increase</w:t>
      </w:r>
      <w:r w:rsidR="00E7296C">
        <w:t>d</w:t>
      </w:r>
      <w:r w:rsidR="00C65BE7">
        <w:t>,</w:t>
      </w:r>
      <w:r w:rsidR="006F143C">
        <w:t xml:space="preserve"> may not be clear. </w:t>
      </w:r>
    </w:p>
    <w:p w14:paraId="2913E11A" w14:textId="5D0EB057" w:rsidR="008F2C52" w:rsidRDefault="00DA64C7" w:rsidP="0019309F">
      <w:pPr>
        <w:pStyle w:val="Heading3"/>
        <w:jc w:val="left"/>
      </w:pPr>
      <w:bookmarkStart w:id="145" w:name="_Toc219884878"/>
      <w:r>
        <w:lastRenderedPageBreak/>
        <w:t xml:space="preserve">Current </w:t>
      </w:r>
      <w:r w:rsidR="00C65BE7">
        <w:t>r</w:t>
      </w:r>
      <w:r>
        <w:t>equirements</w:t>
      </w:r>
      <w:bookmarkEnd w:id="145"/>
    </w:p>
    <w:p w14:paraId="766F4063" w14:textId="77777777" w:rsidR="00D444A2" w:rsidRDefault="0034721F" w:rsidP="0019309F">
      <w:pPr>
        <w:pStyle w:val="BodyText"/>
        <w:jc w:val="left"/>
      </w:pPr>
      <w:r>
        <w:t xml:space="preserve">The Act limits the </w:t>
      </w:r>
      <w:r w:rsidR="00D444A2">
        <w:t>payments an operator can require from a long-stay tenant to:</w:t>
      </w:r>
    </w:p>
    <w:p w14:paraId="70710519" w14:textId="14755B7C" w:rsidR="0034721F" w:rsidRDefault="00D444A2" w:rsidP="0019309F">
      <w:pPr>
        <w:pStyle w:val="Bullet1"/>
        <w:jc w:val="left"/>
      </w:pPr>
      <w:r>
        <w:t>rent;</w:t>
      </w:r>
    </w:p>
    <w:p w14:paraId="3869753E" w14:textId="1C5AA05C" w:rsidR="00D444A2" w:rsidRDefault="00D444A2" w:rsidP="0019309F">
      <w:pPr>
        <w:pStyle w:val="Bullet1"/>
        <w:jc w:val="left"/>
      </w:pPr>
      <w:r>
        <w:t>security bond;</w:t>
      </w:r>
    </w:p>
    <w:p w14:paraId="3FF67110" w14:textId="46235AAD" w:rsidR="00D444A2" w:rsidRDefault="00D444A2" w:rsidP="0019309F">
      <w:pPr>
        <w:pStyle w:val="Bullet1"/>
        <w:jc w:val="left"/>
      </w:pPr>
      <w:r>
        <w:t>an option fee; and</w:t>
      </w:r>
    </w:p>
    <w:p w14:paraId="1C787E7F" w14:textId="70F7E80D" w:rsidR="00D444A2" w:rsidRDefault="00D444A2" w:rsidP="0019309F">
      <w:pPr>
        <w:pStyle w:val="Bullet1"/>
        <w:jc w:val="left"/>
      </w:pPr>
      <w:r>
        <w:t>a payment authorised under the Act;</w:t>
      </w:r>
    </w:p>
    <w:p w14:paraId="32963D0E" w14:textId="76AE5C54" w:rsidR="00D444A2" w:rsidRDefault="00D444A2" w:rsidP="0019309F">
      <w:pPr>
        <w:pStyle w:val="Bullet1"/>
        <w:jc w:val="left"/>
      </w:pPr>
      <w:r>
        <w:t>an amount for a fee that</w:t>
      </w:r>
      <w:r w:rsidRPr="00D444A2">
        <w:t xml:space="preserve"> </w:t>
      </w:r>
      <w:r>
        <w:t xml:space="preserve">is prescribed (e.g. </w:t>
      </w:r>
      <w:r w:rsidRPr="00981CA6">
        <w:t xml:space="preserve">include water </w:t>
      </w:r>
      <w:r>
        <w:t>and</w:t>
      </w:r>
      <w:r w:rsidRPr="00981CA6">
        <w:t xml:space="preserve"> electricity consumption charge</w:t>
      </w:r>
      <w:r>
        <w:t>s</w:t>
      </w:r>
      <w:r w:rsidRPr="00981CA6">
        <w:t xml:space="preserve">, </w:t>
      </w:r>
      <w:r>
        <w:t xml:space="preserve">a </w:t>
      </w:r>
      <w:r w:rsidRPr="00981CA6">
        <w:t>storage fee and gardening fee</w:t>
      </w:r>
      <w:r>
        <w:t>)</w:t>
      </w:r>
      <w:r w:rsidR="002F2477">
        <w:t>;</w:t>
      </w:r>
      <w:r>
        <w:rPr>
          <w:rStyle w:val="FootnoteReference"/>
        </w:rPr>
        <w:footnoteReference w:id="30"/>
      </w:r>
      <w:r>
        <w:t xml:space="preserve"> and</w:t>
      </w:r>
    </w:p>
    <w:p w14:paraId="3793474C" w14:textId="261E2AB0" w:rsidR="00D444A2" w:rsidRDefault="00D444A2" w:rsidP="0019309F">
      <w:pPr>
        <w:pStyle w:val="Bullet2"/>
      </w:pPr>
      <w:r>
        <w:t xml:space="preserve">is included </w:t>
      </w:r>
      <w:r w:rsidRPr="00981CA6">
        <w:t>in the long-stay agreement</w:t>
      </w:r>
      <w:r>
        <w:t>; and</w:t>
      </w:r>
    </w:p>
    <w:p w14:paraId="606BE2D6" w14:textId="1A19056B" w:rsidR="00D444A2" w:rsidRPr="0034721F" w:rsidRDefault="00D444A2" w:rsidP="0019309F">
      <w:pPr>
        <w:pStyle w:val="Bullet2"/>
      </w:pPr>
      <w:r>
        <w:t xml:space="preserve">if the fee is for a service or facility </w:t>
      </w:r>
      <w:r w:rsidR="00C65BE7">
        <w:t>–</w:t>
      </w:r>
      <w:r>
        <w:t xml:space="preserve"> must not exceed the reasonable cost for provision of the service or facility. </w:t>
      </w:r>
    </w:p>
    <w:p w14:paraId="379013AE" w14:textId="272873F7" w:rsidR="00D444A2" w:rsidRDefault="00D444A2" w:rsidP="0019309F">
      <w:pPr>
        <w:pStyle w:val="BodyText"/>
        <w:jc w:val="left"/>
      </w:pPr>
      <w:r>
        <w:t xml:space="preserve">The Act provides that these fees must </w:t>
      </w:r>
      <w:r w:rsidR="00C65BE7">
        <w:t xml:space="preserve">be </w:t>
      </w:r>
      <w:r>
        <w:t xml:space="preserve">disclosed to long-stay tenants prior to signing the lease. </w:t>
      </w:r>
    </w:p>
    <w:p w14:paraId="174127FD" w14:textId="79DAB8E6" w:rsidR="00DF7F1D" w:rsidRDefault="00DF7F1D" w:rsidP="0019309F">
      <w:pPr>
        <w:pStyle w:val="BodyText"/>
        <w:jc w:val="left"/>
      </w:pPr>
      <w:r>
        <w:t xml:space="preserve">The Act does not require the operator to explain the basis on which </w:t>
      </w:r>
      <w:r w:rsidR="00E351F0">
        <w:t xml:space="preserve">prescribed </w:t>
      </w:r>
      <w:r>
        <w:t xml:space="preserve">fees and charges </w:t>
      </w:r>
      <w:r w:rsidR="00004592">
        <w:t>will</w:t>
      </w:r>
      <w:r>
        <w:t xml:space="preserve"> </w:t>
      </w:r>
      <w:r w:rsidR="006A4494">
        <w:t>increase</w:t>
      </w:r>
      <w:r w:rsidR="00D444A2">
        <w:t xml:space="preserve"> over time</w:t>
      </w:r>
      <w:r>
        <w:t xml:space="preserve">. </w:t>
      </w:r>
    </w:p>
    <w:p w14:paraId="6D8F0FB1" w14:textId="4CF199EF" w:rsidR="00711DF6" w:rsidRDefault="00711DF6" w:rsidP="0019309F">
      <w:pPr>
        <w:pStyle w:val="BodyText"/>
        <w:jc w:val="left"/>
      </w:pPr>
      <w:r>
        <w:t xml:space="preserve">Recent amendments to the Regulations allow park operators to impose a daily electricity supply charge on long-stay tenants </w:t>
      </w:r>
      <w:r w:rsidR="00911A60">
        <w:t xml:space="preserve">if the long-stay agreement </w:t>
      </w:r>
      <w:r w:rsidR="008D5330">
        <w:t xml:space="preserve">provides for </w:t>
      </w:r>
      <w:r w:rsidR="00911A60">
        <w:t xml:space="preserve">the charge and electricity is supplied to the tenant through a </w:t>
      </w:r>
      <w:r w:rsidR="008D5330">
        <w:t xml:space="preserve">separate </w:t>
      </w:r>
      <w:r w:rsidR="00911A60">
        <w:t>meter</w:t>
      </w:r>
      <w:r w:rsidR="002F2477">
        <w:t>.</w:t>
      </w:r>
      <w:r w:rsidR="00911A60">
        <w:rPr>
          <w:rStyle w:val="FootnoteReference"/>
        </w:rPr>
        <w:footnoteReference w:id="31"/>
      </w:r>
      <w:r w:rsidR="00911A60">
        <w:t xml:space="preserve"> This matter </w:t>
      </w:r>
      <w:r w:rsidR="008D5330">
        <w:t xml:space="preserve">was recently considered </w:t>
      </w:r>
      <w:r w:rsidR="00E7296C">
        <w:t xml:space="preserve">by </w:t>
      </w:r>
      <w:r w:rsidR="0037778B">
        <w:t xml:space="preserve">State </w:t>
      </w:r>
      <w:r w:rsidR="00E7296C">
        <w:t xml:space="preserve">Government </w:t>
      </w:r>
      <w:r w:rsidR="008D5330">
        <w:t xml:space="preserve">and </w:t>
      </w:r>
      <w:r w:rsidR="00911A60">
        <w:t>is outside the scope of th</w:t>
      </w:r>
      <w:r w:rsidR="008D5330">
        <w:t>is</w:t>
      </w:r>
      <w:r w:rsidR="00911A60">
        <w:t xml:space="preserve"> review.</w:t>
      </w:r>
    </w:p>
    <w:p w14:paraId="67255F6C" w14:textId="73F9645B" w:rsidR="00DA64C7" w:rsidRDefault="00A65CC0" w:rsidP="0019309F">
      <w:pPr>
        <w:pStyle w:val="Heading3"/>
        <w:jc w:val="left"/>
      </w:pPr>
      <w:bookmarkStart w:id="146" w:name="_Toc219884879"/>
      <w:r>
        <w:t>Feedback</w:t>
      </w:r>
      <w:bookmarkEnd w:id="146"/>
    </w:p>
    <w:p w14:paraId="4EDC8AAD" w14:textId="323BF7BC" w:rsidR="003B5294" w:rsidRDefault="00A65CC0" w:rsidP="0019309F">
      <w:pPr>
        <w:pStyle w:val="BodyText"/>
        <w:jc w:val="left"/>
      </w:pPr>
      <w:r>
        <w:t>LGIRS</w:t>
      </w:r>
      <w:r w:rsidR="003B5294">
        <w:t xml:space="preserve"> is interested to </w:t>
      </w:r>
      <w:r w:rsidR="00E7296C">
        <w:t>understand</w:t>
      </w:r>
      <w:r w:rsidR="003B5294">
        <w:t xml:space="preserve"> the practices </w:t>
      </w:r>
      <w:r w:rsidR="00D33791">
        <w:t xml:space="preserve">of </w:t>
      </w:r>
      <w:r w:rsidR="003B5294">
        <w:t>operators</w:t>
      </w:r>
      <w:r w:rsidR="00D33791">
        <w:t xml:space="preserve"> around </w:t>
      </w:r>
      <w:r w:rsidR="00CD4BDD">
        <w:t xml:space="preserve">imposing and increasing </w:t>
      </w:r>
      <w:r w:rsidR="00D33791">
        <w:t>fees and charges</w:t>
      </w:r>
      <w:r w:rsidR="00CD4BDD">
        <w:t xml:space="preserve">. This will assist in determining whether </w:t>
      </w:r>
      <w:r w:rsidR="003B5294">
        <w:t xml:space="preserve">current requirements are satisfactory and what improvement (if any) </w:t>
      </w:r>
      <w:r w:rsidR="00CD4BDD">
        <w:t xml:space="preserve">may be </w:t>
      </w:r>
      <w:r w:rsidR="003B5294">
        <w:t>required.</w:t>
      </w:r>
    </w:p>
    <w:tbl>
      <w:tblPr>
        <w:tblStyle w:val="TableGrid"/>
        <w:tblW w:w="0" w:type="auto"/>
        <w:tblLook w:val="04A0" w:firstRow="1" w:lastRow="0" w:firstColumn="1" w:lastColumn="0" w:noHBand="0" w:noVBand="1"/>
      </w:tblPr>
      <w:tblGrid>
        <w:gridCol w:w="9010"/>
      </w:tblGrid>
      <w:tr w:rsidR="000524C5" w14:paraId="0FDCC3EE" w14:textId="77777777" w:rsidTr="000524C5">
        <w:tc>
          <w:tcPr>
            <w:tcW w:w="9010" w:type="dxa"/>
          </w:tcPr>
          <w:p w14:paraId="6468624A" w14:textId="0BFD705A" w:rsidR="000524C5" w:rsidRPr="005622C9" w:rsidRDefault="000524C5" w:rsidP="0019309F">
            <w:pPr>
              <w:pStyle w:val="BodyText"/>
              <w:jc w:val="left"/>
            </w:pPr>
            <w:r w:rsidRPr="003F7731">
              <w:rPr>
                <w:b/>
                <w:bCs/>
                <w:sz w:val="24"/>
                <w:szCs w:val="28"/>
              </w:rPr>
              <w:t>Consultation question</w:t>
            </w:r>
            <w:r w:rsidR="003F7731">
              <w:rPr>
                <w:b/>
                <w:bCs/>
                <w:sz w:val="24"/>
                <w:szCs w:val="28"/>
              </w:rPr>
              <w:t>s</w:t>
            </w:r>
          </w:p>
          <w:p w14:paraId="6B4914F2" w14:textId="77777777" w:rsidR="000524C5" w:rsidRPr="009C0A3C" w:rsidRDefault="000524C5" w:rsidP="0019309F">
            <w:pPr>
              <w:pStyle w:val="ListParagraph"/>
              <w:jc w:val="left"/>
              <w:rPr>
                <w:sz w:val="24"/>
                <w:szCs w:val="32"/>
              </w:rPr>
            </w:pPr>
            <w:r w:rsidRPr="009C0A3C">
              <w:rPr>
                <w:sz w:val="24"/>
                <w:szCs w:val="32"/>
              </w:rPr>
              <w:t>What type of fees and charges are operators imposing on long-stay tenants?</w:t>
            </w:r>
          </w:p>
          <w:p w14:paraId="6DB57F6C" w14:textId="77777777" w:rsidR="000524C5" w:rsidRPr="009C0A3C" w:rsidRDefault="000524C5" w:rsidP="0019309F">
            <w:pPr>
              <w:pStyle w:val="ListParagraph"/>
              <w:jc w:val="left"/>
              <w:rPr>
                <w:sz w:val="24"/>
                <w:szCs w:val="32"/>
              </w:rPr>
            </w:pPr>
            <w:r w:rsidRPr="009C0A3C">
              <w:rPr>
                <w:sz w:val="24"/>
                <w:szCs w:val="32"/>
              </w:rPr>
              <w:t>Are the current requirements clear around the type of fees an operator may charge?</w:t>
            </w:r>
          </w:p>
          <w:p w14:paraId="66E647A5" w14:textId="40C9EA29" w:rsidR="000524C5" w:rsidRPr="009C0A3C" w:rsidRDefault="00275861" w:rsidP="0019309F">
            <w:pPr>
              <w:pStyle w:val="ListParagraph"/>
              <w:jc w:val="left"/>
              <w:rPr>
                <w:sz w:val="24"/>
                <w:szCs w:val="32"/>
              </w:rPr>
            </w:pPr>
            <w:r w:rsidRPr="009C0A3C">
              <w:rPr>
                <w:sz w:val="24"/>
                <w:szCs w:val="32"/>
              </w:rPr>
              <w:t>Does the Act need to clarify how fees can be increased over time</w:t>
            </w:r>
            <w:r w:rsidR="000524C5" w:rsidRPr="009C0A3C">
              <w:rPr>
                <w:sz w:val="24"/>
                <w:szCs w:val="32"/>
              </w:rPr>
              <w:t>?</w:t>
            </w:r>
          </w:p>
          <w:p w14:paraId="2B57770F" w14:textId="6BAB4B46" w:rsidR="000524C5" w:rsidRPr="009C0A3C" w:rsidRDefault="000524C5" w:rsidP="0019309F">
            <w:pPr>
              <w:pStyle w:val="ListParagraph"/>
              <w:jc w:val="left"/>
              <w:rPr>
                <w:sz w:val="24"/>
                <w:szCs w:val="32"/>
              </w:rPr>
            </w:pPr>
            <w:r w:rsidRPr="009C0A3C">
              <w:rPr>
                <w:sz w:val="24"/>
                <w:szCs w:val="32"/>
              </w:rPr>
              <w:t>The current list of fees in the Regulations that an operator may charge a long-stay tenant is at Appendix A.</w:t>
            </w:r>
            <w:r w:rsidR="00C30E41">
              <w:rPr>
                <w:sz w:val="24"/>
                <w:szCs w:val="32"/>
              </w:rPr>
              <w:t xml:space="preserve"> </w:t>
            </w:r>
            <w:r w:rsidRPr="009C0A3C">
              <w:rPr>
                <w:sz w:val="24"/>
                <w:szCs w:val="32"/>
              </w:rPr>
              <w:t>In your view, is this list reasonable?</w:t>
            </w:r>
          </w:p>
          <w:p w14:paraId="60B4B6FC" w14:textId="4CF3C867" w:rsidR="000524C5" w:rsidRPr="00D936A7" w:rsidRDefault="000524C5" w:rsidP="0019309F">
            <w:pPr>
              <w:pStyle w:val="ListParagraph"/>
              <w:jc w:val="left"/>
            </w:pPr>
            <w:r w:rsidRPr="009C0A3C">
              <w:rPr>
                <w:sz w:val="24"/>
                <w:szCs w:val="32"/>
              </w:rPr>
              <w:t>If your answer to question 2</w:t>
            </w:r>
            <w:r w:rsidR="009E3041" w:rsidRPr="009C0A3C">
              <w:rPr>
                <w:sz w:val="24"/>
                <w:szCs w:val="32"/>
              </w:rPr>
              <w:t>0</w:t>
            </w:r>
            <w:r w:rsidRPr="009C0A3C">
              <w:rPr>
                <w:sz w:val="24"/>
                <w:szCs w:val="32"/>
              </w:rPr>
              <w:t xml:space="preserve"> is ‘no’, what should be added/removed</w:t>
            </w:r>
            <w:r w:rsidR="003F7731" w:rsidRPr="009C0A3C">
              <w:rPr>
                <w:sz w:val="24"/>
                <w:szCs w:val="32"/>
              </w:rPr>
              <w:t>?</w:t>
            </w:r>
          </w:p>
        </w:tc>
      </w:tr>
    </w:tbl>
    <w:p w14:paraId="19A94000" w14:textId="63C2287A" w:rsidR="001C452F" w:rsidRDefault="001C452F" w:rsidP="0019309F">
      <w:pPr>
        <w:pStyle w:val="Heading2"/>
        <w:jc w:val="left"/>
      </w:pPr>
      <w:bookmarkStart w:id="147" w:name="_Toc215579531"/>
      <w:bookmarkStart w:id="148" w:name="_Toc215579617"/>
      <w:bookmarkStart w:id="149" w:name="_Toc215579702"/>
      <w:bookmarkStart w:id="150" w:name="_Toc219884880"/>
      <w:bookmarkStart w:id="151" w:name="_Ref219904724"/>
      <w:bookmarkStart w:id="152" w:name="_Ref219904748"/>
      <w:bookmarkStart w:id="153" w:name="_Ref219904767"/>
      <w:bookmarkEnd w:id="147"/>
      <w:bookmarkEnd w:id="148"/>
      <w:bookmarkEnd w:id="149"/>
      <w:r>
        <w:lastRenderedPageBreak/>
        <w:t xml:space="preserve">Voluntary </w:t>
      </w:r>
      <w:r w:rsidR="00C65BE7">
        <w:t>s</w:t>
      </w:r>
      <w:r>
        <w:t xml:space="preserve">haring </w:t>
      </w:r>
      <w:r w:rsidR="00C65BE7">
        <w:t>a</w:t>
      </w:r>
      <w:r>
        <w:t>rrangements</w:t>
      </w:r>
      <w:bookmarkEnd w:id="150"/>
      <w:bookmarkEnd w:id="151"/>
      <w:bookmarkEnd w:id="152"/>
      <w:bookmarkEnd w:id="153"/>
    </w:p>
    <w:p w14:paraId="0D0911E6" w14:textId="4CB5F168" w:rsidR="001C452F" w:rsidRPr="000F591A" w:rsidRDefault="001C452F" w:rsidP="0019309F">
      <w:pPr>
        <w:pStyle w:val="BodyText"/>
        <w:jc w:val="left"/>
      </w:pPr>
      <w:r>
        <w:t xml:space="preserve">A </w:t>
      </w:r>
      <w:r w:rsidRPr="000F591A">
        <w:t>voluntary sharing arrangement is defined as an agreement where a long-stay tenant pays the park operator:</w:t>
      </w:r>
    </w:p>
    <w:p w14:paraId="30006C7D" w14:textId="77777777" w:rsidR="001C452F" w:rsidRPr="000F591A" w:rsidRDefault="001C452F" w:rsidP="0019309F">
      <w:pPr>
        <w:pStyle w:val="Bullet1"/>
        <w:jc w:val="left"/>
      </w:pPr>
      <w:r w:rsidRPr="000F591A">
        <w:t xml:space="preserve">rent on a deferred basis; </w:t>
      </w:r>
    </w:p>
    <w:p w14:paraId="1B4EB946" w14:textId="77777777" w:rsidR="001C452F" w:rsidRPr="000F591A" w:rsidRDefault="001C452F" w:rsidP="0019309F">
      <w:pPr>
        <w:pStyle w:val="Bullet1"/>
        <w:jc w:val="left"/>
      </w:pPr>
      <w:r w:rsidRPr="000F591A">
        <w:t>a share in the sale price or capital gain when the relocatable home is sold; or</w:t>
      </w:r>
    </w:p>
    <w:p w14:paraId="36267F4F" w14:textId="77777777" w:rsidR="001C452F" w:rsidRPr="000F591A" w:rsidRDefault="001C452F" w:rsidP="0019309F">
      <w:pPr>
        <w:pStyle w:val="Bullet1"/>
        <w:jc w:val="left"/>
      </w:pPr>
      <w:r w:rsidRPr="000F591A">
        <w:t>an exit fee when the home is sold or removed from the site (either a fixed amount or calculated by reference to a formula).</w:t>
      </w:r>
    </w:p>
    <w:p w14:paraId="7DEEBB1C" w14:textId="77777777" w:rsidR="001C452F" w:rsidRPr="000F591A" w:rsidRDefault="001C452F" w:rsidP="0019309F">
      <w:r w:rsidRPr="000F591A">
        <w:t>Voluntary sharing arrangements vary from park to park and the fees payable may raise concerns for long-stay tenants including:</w:t>
      </w:r>
    </w:p>
    <w:p w14:paraId="4A8D10F7" w14:textId="77777777" w:rsidR="001C452F" w:rsidRPr="00633CCE" w:rsidRDefault="001C452F" w:rsidP="0019309F">
      <w:pPr>
        <w:pStyle w:val="Bullet1"/>
        <w:jc w:val="left"/>
      </w:pPr>
      <w:r w:rsidRPr="000F591A">
        <w:t xml:space="preserve">it may be difficult to estimate and budget for </w:t>
      </w:r>
      <w:r w:rsidRPr="00633CCE">
        <w:t xml:space="preserve">the fee if it is based on a future sale price of a home; </w:t>
      </w:r>
    </w:p>
    <w:p w14:paraId="20D0ADDF" w14:textId="04113390" w:rsidR="001C452F" w:rsidRPr="00633CCE" w:rsidRDefault="00381639" w:rsidP="0019309F">
      <w:pPr>
        <w:pStyle w:val="Bullet1"/>
        <w:jc w:val="left"/>
      </w:pPr>
      <w:r>
        <w:t>any</w:t>
      </w:r>
      <w:r w:rsidRPr="00633CCE">
        <w:t xml:space="preserve"> </w:t>
      </w:r>
      <w:r w:rsidR="001C452F" w:rsidRPr="00633CCE">
        <w:t>benefit to a long-stay tenant may be difficult to determine; and</w:t>
      </w:r>
    </w:p>
    <w:p w14:paraId="00AB0B33" w14:textId="77777777" w:rsidR="001C452F" w:rsidRPr="00633CCE" w:rsidRDefault="001C452F" w:rsidP="0019309F">
      <w:pPr>
        <w:pStyle w:val="Bullet1"/>
        <w:jc w:val="left"/>
      </w:pPr>
      <w:r w:rsidRPr="00633CCE">
        <w:t>it could present financial difficulty for the tenant seeking to exit the park and needing to fund alternative accommodation.</w:t>
      </w:r>
    </w:p>
    <w:p w14:paraId="3CD94612" w14:textId="77777777" w:rsidR="001C452F" w:rsidRPr="000F591A" w:rsidRDefault="001C452F" w:rsidP="0019309F">
      <w:pPr>
        <w:pStyle w:val="BodyText"/>
        <w:jc w:val="left"/>
      </w:pPr>
      <w:r w:rsidRPr="000F591A">
        <w:t>Some jurisdictions have restricted the use of voluntary sharing arrangements.</w:t>
      </w:r>
    </w:p>
    <w:p w14:paraId="7661F043" w14:textId="58E050FF" w:rsidR="001C452F" w:rsidRPr="000F591A" w:rsidRDefault="00656DCA" w:rsidP="0019309F">
      <w:pPr>
        <w:pStyle w:val="BodyText"/>
        <w:jc w:val="left"/>
      </w:pPr>
      <w:r w:rsidRPr="000F591A">
        <w:t xml:space="preserve">In </w:t>
      </w:r>
      <w:r w:rsidR="00C65BE7">
        <w:t>NSW</w:t>
      </w:r>
      <w:r w:rsidR="001C452F" w:rsidRPr="000F591A">
        <w:t xml:space="preserve"> </w:t>
      </w:r>
      <w:r w:rsidRPr="000F591A">
        <w:t>a</w:t>
      </w:r>
      <w:r w:rsidR="000B59EE" w:rsidRPr="000F591A">
        <w:t>greements cannot provide for an</w:t>
      </w:r>
      <w:r w:rsidR="004864BC" w:rsidRPr="000F591A">
        <w:t xml:space="preserve"> entry or exit fee</w:t>
      </w:r>
      <w:r w:rsidR="001C452F" w:rsidRPr="000F591A">
        <w:rPr>
          <w:rStyle w:val="FootnoteReference"/>
          <w:szCs w:val="24"/>
        </w:rPr>
        <w:footnoteReference w:id="32"/>
      </w:r>
      <w:r w:rsidR="001C452F" w:rsidRPr="000F591A">
        <w:t xml:space="preserve"> on the basis that they may not benefit tenants and have the potential to be used by operators to drive up rent</w:t>
      </w:r>
      <w:r w:rsidR="002F2477">
        <w:t>.</w:t>
      </w:r>
      <w:r w:rsidR="001C452F" w:rsidRPr="000F591A">
        <w:rPr>
          <w:rStyle w:val="FootnoteReference"/>
          <w:szCs w:val="24"/>
        </w:rPr>
        <w:footnoteReference w:id="33"/>
      </w:r>
      <w:r w:rsidR="001C452F" w:rsidRPr="000F591A">
        <w:t xml:space="preserve"> </w:t>
      </w:r>
      <w:r w:rsidR="004864BC" w:rsidRPr="000F591A">
        <w:t>The agreements can</w:t>
      </w:r>
      <w:r w:rsidR="000B59EE" w:rsidRPr="000F591A">
        <w:t xml:space="preserve">, however, </w:t>
      </w:r>
      <w:r w:rsidR="004864BC" w:rsidRPr="000F591A">
        <w:t>include a term that requires the long-stay tenant to pay the operator on exit a share of any capital gain on the home or a share of the sale price as specified in the long-stay agreement</w:t>
      </w:r>
      <w:r w:rsidR="002F2477">
        <w:t>.</w:t>
      </w:r>
      <w:r w:rsidR="004864BC" w:rsidRPr="000F591A">
        <w:rPr>
          <w:rStyle w:val="FootnoteReference"/>
          <w:szCs w:val="24"/>
        </w:rPr>
        <w:footnoteReference w:id="34"/>
      </w:r>
    </w:p>
    <w:p w14:paraId="2C90B502" w14:textId="30902CB1" w:rsidR="001C452F" w:rsidRPr="000F591A" w:rsidRDefault="001C452F" w:rsidP="0019309F">
      <w:pPr>
        <w:pStyle w:val="BodyText"/>
        <w:jc w:val="left"/>
      </w:pPr>
      <w:r w:rsidRPr="000F591A">
        <w:t xml:space="preserve">South Australia </w:t>
      </w:r>
      <w:r w:rsidR="00614E05">
        <w:t xml:space="preserve">(SA) </w:t>
      </w:r>
      <w:r w:rsidRPr="000F591A">
        <w:t>prohibits the payment by a long-stay tenant of an exit fee to a park owner</w:t>
      </w:r>
      <w:r w:rsidR="002F2477">
        <w:t>.</w:t>
      </w:r>
      <w:r w:rsidRPr="000F591A">
        <w:rPr>
          <w:rStyle w:val="FootnoteReference"/>
          <w:szCs w:val="24"/>
        </w:rPr>
        <w:footnoteReference w:id="35"/>
      </w:r>
      <w:r w:rsidRPr="000F591A">
        <w:t xml:space="preserve"> </w:t>
      </w:r>
    </w:p>
    <w:p w14:paraId="467CE565" w14:textId="77777777" w:rsidR="001C452F" w:rsidRPr="000159BD" w:rsidRDefault="001C452F" w:rsidP="0019309F">
      <w:pPr>
        <w:pStyle w:val="Heading3"/>
        <w:jc w:val="left"/>
      </w:pPr>
      <w:bookmarkStart w:id="154" w:name="_Toc219884881"/>
      <w:r w:rsidRPr="000159BD">
        <w:t>Current requirements</w:t>
      </w:r>
      <w:bookmarkEnd w:id="154"/>
    </w:p>
    <w:p w14:paraId="5CF8C724" w14:textId="4F75E922" w:rsidR="00275861" w:rsidRDefault="001C452F" w:rsidP="0019309F">
      <w:pPr>
        <w:pStyle w:val="BodyText"/>
        <w:jc w:val="left"/>
      </w:pPr>
      <w:r>
        <w:t>Since the Act commenced in 2007, voluntary sharing agreements have been permitted at residential parks.</w:t>
      </w:r>
      <w:r w:rsidR="00275861">
        <w:t xml:space="preserve"> </w:t>
      </w:r>
      <w:r w:rsidR="00F321F9">
        <w:t xml:space="preserve">In WA, these agreements may require a long-stay tenant to pay an exit fee, a share of the capital gain of the home or a share of the sale price of the home on exit from the park. </w:t>
      </w:r>
      <w:r w:rsidR="00275861">
        <w:t>Entry fees cannot be charged by park operator.</w:t>
      </w:r>
      <w:r>
        <w:t xml:space="preserve"> </w:t>
      </w:r>
    </w:p>
    <w:p w14:paraId="40791B19" w14:textId="47280686" w:rsidR="001C452F" w:rsidRDefault="001C452F" w:rsidP="0019309F">
      <w:pPr>
        <w:pStyle w:val="BodyText"/>
        <w:jc w:val="left"/>
      </w:pPr>
      <w:r>
        <w:t xml:space="preserve">Since 2022, operators have been required to disclosure what voluntary sharing arrangement options are available and to provide worked examples to indicate the amount </w:t>
      </w:r>
      <w:r w:rsidR="00656DCA">
        <w:t xml:space="preserve">that could be </w:t>
      </w:r>
      <w:r>
        <w:t xml:space="preserve">payable at the end of the lease in a </w:t>
      </w:r>
      <w:hyperlink r:id="rId19" w:history="1">
        <w:r w:rsidRPr="00CA2C4F">
          <w:rPr>
            <w:rStyle w:val="Hyperlink"/>
          </w:rPr>
          <w:t>Form RP2B</w:t>
        </w:r>
      </w:hyperlink>
      <w:r>
        <w:t>. The Form must be provided to the long-stay tenant prior to signing a long-stay agreement.</w:t>
      </w:r>
    </w:p>
    <w:p w14:paraId="01116BE5" w14:textId="77777777" w:rsidR="001C452F" w:rsidRPr="004D45C4" w:rsidRDefault="001C452F" w:rsidP="0019309F">
      <w:pPr>
        <w:pStyle w:val="BodyText"/>
        <w:jc w:val="left"/>
      </w:pPr>
      <w:r>
        <w:lastRenderedPageBreak/>
        <w:t xml:space="preserve">The Act allows a park operator and a long-stay tenant to agree on the terms of a voluntary sharing arrangement. These arrangements may assist long-stay tenants by reducing rent during their stay in a park in exchange for an operator collecting a fee on exit. </w:t>
      </w:r>
    </w:p>
    <w:p w14:paraId="1464F38E" w14:textId="77777777" w:rsidR="001C452F" w:rsidRPr="000159BD" w:rsidRDefault="001C452F" w:rsidP="0019309F">
      <w:pPr>
        <w:pStyle w:val="Heading3"/>
        <w:jc w:val="left"/>
      </w:pPr>
      <w:bookmarkStart w:id="155" w:name="_Toc219884882"/>
      <w:r>
        <w:t>Feedback</w:t>
      </w:r>
      <w:bookmarkEnd w:id="155"/>
    </w:p>
    <w:p w14:paraId="371567C4" w14:textId="260F44EA" w:rsidR="003D4ABB" w:rsidRDefault="001C452F" w:rsidP="0019309F">
      <w:pPr>
        <w:pStyle w:val="BodyText"/>
        <w:jc w:val="left"/>
      </w:pPr>
      <w:r w:rsidRPr="00F62C15">
        <w:t xml:space="preserve">LGIRS wants to </w:t>
      </w:r>
      <w:r w:rsidR="00117A33">
        <w:t>understand</w:t>
      </w:r>
      <w:r w:rsidR="003D4ABB">
        <w:t>:</w:t>
      </w:r>
    </w:p>
    <w:p w14:paraId="6F113C9A" w14:textId="32D38AD8" w:rsidR="003D4ABB" w:rsidRDefault="001C452F" w:rsidP="0019309F">
      <w:pPr>
        <w:pStyle w:val="BodyText"/>
        <w:numPr>
          <w:ilvl w:val="0"/>
          <w:numId w:val="25"/>
        </w:numPr>
        <w:jc w:val="left"/>
      </w:pPr>
      <w:r w:rsidRPr="00F62C15">
        <w:t>whether voluntary sharing arrangements are being used by stakeholders</w:t>
      </w:r>
      <w:r w:rsidR="003D4ABB">
        <w:t>;</w:t>
      </w:r>
    </w:p>
    <w:p w14:paraId="53D1D69B" w14:textId="78823F08" w:rsidR="003D4ABB" w:rsidRDefault="001C452F" w:rsidP="0019309F">
      <w:pPr>
        <w:pStyle w:val="BodyText"/>
        <w:numPr>
          <w:ilvl w:val="0"/>
          <w:numId w:val="25"/>
        </w:numPr>
        <w:jc w:val="left"/>
      </w:pPr>
      <w:r w:rsidRPr="00F62C15">
        <w:t xml:space="preserve"> their benefits</w:t>
      </w:r>
      <w:r w:rsidR="003D4ABB">
        <w:t>;</w:t>
      </w:r>
    </w:p>
    <w:p w14:paraId="3225D97F" w14:textId="50AC37D9" w:rsidR="003D4ABB" w:rsidRDefault="009C295F" w:rsidP="0019309F">
      <w:pPr>
        <w:pStyle w:val="BodyText"/>
        <w:numPr>
          <w:ilvl w:val="0"/>
          <w:numId w:val="25"/>
        </w:numPr>
        <w:jc w:val="left"/>
      </w:pPr>
      <w:r w:rsidRPr="00F62C15">
        <w:t>any concerns</w:t>
      </w:r>
      <w:r w:rsidR="003D4ABB">
        <w:t>;</w:t>
      </w:r>
      <w:r w:rsidR="001C452F" w:rsidRPr="00F62C15">
        <w:t xml:space="preserve"> and</w:t>
      </w:r>
    </w:p>
    <w:p w14:paraId="4FF725C1" w14:textId="157E7020" w:rsidR="00E13CAE" w:rsidRDefault="001C452F" w:rsidP="007F4472">
      <w:pPr>
        <w:pStyle w:val="BodyText"/>
        <w:numPr>
          <w:ilvl w:val="0"/>
          <w:numId w:val="25"/>
        </w:numPr>
        <w:jc w:val="left"/>
      </w:pPr>
      <w:r w:rsidRPr="00F62C15">
        <w:t>whether the current regulatory framework for these arrangements is suitable</w:t>
      </w:r>
      <w:r>
        <w:t>.</w:t>
      </w:r>
    </w:p>
    <w:tbl>
      <w:tblPr>
        <w:tblStyle w:val="TableGrid"/>
        <w:tblW w:w="0" w:type="auto"/>
        <w:tblLook w:val="04A0" w:firstRow="1" w:lastRow="0" w:firstColumn="1" w:lastColumn="0" w:noHBand="0" w:noVBand="1"/>
      </w:tblPr>
      <w:tblGrid>
        <w:gridCol w:w="9010"/>
      </w:tblGrid>
      <w:tr w:rsidR="001C452F" w14:paraId="3F7699BA" w14:textId="77777777" w:rsidTr="00AD758D">
        <w:tc>
          <w:tcPr>
            <w:tcW w:w="9010" w:type="dxa"/>
          </w:tcPr>
          <w:p w14:paraId="1FA97F84" w14:textId="05AF7EEA" w:rsidR="001C452F" w:rsidRPr="005622C9" w:rsidRDefault="001C452F" w:rsidP="0019309F">
            <w:pPr>
              <w:pStyle w:val="BodyText"/>
              <w:jc w:val="left"/>
            </w:pPr>
            <w:r w:rsidRPr="003F7731">
              <w:rPr>
                <w:b/>
                <w:bCs/>
                <w:sz w:val="24"/>
                <w:szCs w:val="28"/>
              </w:rPr>
              <w:t>Consultation question</w:t>
            </w:r>
            <w:r w:rsidR="003F7731">
              <w:rPr>
                <w:b/>
                <w:bCs/>
                <w:sz w:val="24"/>
                <w:szCs w:val="28"/>
              </w:rPr>
              <w:t>s</w:t>
            </w:r>
          </w:p>
          <w:p w14:paraId="53EC57AE" w14:textId="2E3F12AE" w:rsidR="00275861" w:rsidRPr="009C0A3C" w:rsidRDefault="00275861" w:rsidP="0019309F">
            <w:pPr>
              <w:pStyle w:val="ListParagraph"/>
              <w:jc w:val="left"/>
              <w:rPr>
                <w:sz w:val="24"/>
                <w:szCs w:val="32"/>
              </w:rPr>
            </w:pPr>
            <w:r w:rsidRPr="009C0A3C">
              <w:rPr>
                <w:sz w:val="24"/>
                <w:szCs w:val="32"/>
              </w:rPr>
              <w:t xml:space="preserve">For long-stay tenants </w:t>
            </w:r>
            <w:r w:rsidR="003D4ABB">
              <w:rPr>
                <w:sz w:val="24"/>
                <w:szCs w:val="32"/>
              </w:rPr>
              <w:t>–</w:t>
            </w:r>
            <w:r w:rsidRPr="009C0A3C">
              <w:rPr>
                <w:sz w:val="24"/>
                <w:szCs w:val="32"/>
              </w:rPr>
              <w:t xml:space="preserve"> </w:t>
            </w:r>
            <w:r w:rsidR="003D4ABB">
              <w:rPr>
                <w:sz w:val="24"/>
                <w:szCs w:val="32"/>
              </w:rPr>
              <w:t>D</w:t>
            </w:r>
            <w:r w:rsidR="001C452F" w:rsidRPr="009C0A3C">
              <w:rPr>
                <w:sz w:val="24"/>
                <w:szCs w:val="32"/>
              </w:rPr>
              <w:t>o you have a voluntary sharing arrangement in your lease? If yes, do you understand how this will impact you financially when you leave the park</w:t>
            </w:r>
            <w:r w:rsidRPr="009C0A3C">
              <w:rPr>
                <w:sz w:val="24"/>
                <w:szCs w:val="32"/>
              </w:rPr>
              <w:t>?</w:t>
            </w:r>
          </w:p>
          <w:p w14:paraId="0A6DB7D5" w14:textId="44BC6059" w:rsidR="001C452F" w:rsidRPr="009C0A3C" w:rsidRDefault="00275861" w:rsidP="0019309F">
            <w:pPr>
              <w:pStyle w:val="ListParagraph"/>
              <w:jc w:val="left"/>
              <w:rPr>
                <w:sz w:val="24"/>
                <w:szCs w:val="32"/>
              </w:rPr>
            </w:pPr>
            <w:r w:rsidRPr="009C0A3C">
              <w:rPr>
                <w:sz w:val="24"/>
                <w:szCs w:val="32"/>
              </w:rPr>
              <w:t xml:space="preserve">For operators – </w:t>
            </w:r>
            <w:r w:rsidR="003D4ABB">
              <w:rPr>
                <w:sz w:val="24"/>
                <w:szCs w:val="32"/>
              </w:rPr>
              <w:t>D</w:t>
            </w:r>
            <w:r w:rsidRPr="009C0A3C">
              <w:rPr>
                <w:sz w:val="24"/>
                <w:szCs w:val="32"/>
              </w:rPr>
              <w:t>o you provide voluntary sharing agreements and if so, what are the benefit to operators and long-stay tenants?</w:t>
            </w:r>
          </w:p>
          <w:p w14:paraId="52789F58" w14:textId="000E4A37" w:rsidR="001C452F" w:rsidRPr="009C0A3C" w:rsidRDefault="00C74B84" w:rsidP="0019309F">
            <w:pPr>
              <w:pStyle w:val="ListParagraph"/>
              <w:jc w:val="left"/>
              <w:rPr>
                <w:sz w:val="24"/>
                <w:szCs w:val="32"/>
              </w:rPr>
            </w:pPr>
            <w:r w:rsidRPr="009C0A3C">
              <w:rPr>
                <w:sz w:val="24"/>
                <w:szCs w:val="32"/>
              </w:rPr>
              <w:t xml:space="preserve">For operators </w:t>
            </w:r>
            <w:r w:rsidR="003D4ABB">
              <w:rPr>
                <w:sz w:val="24"/>
                <w:szCs w:val="32"/>
              </w:rPr>
              <w:t>–</w:t>
            </w:r>
            <w:r w:rsidRPr="009C0A3C">
              <w:rPr>
                <w:sz w:val="24"/>
                <w:szCs w:val="32"/>
              </w:rPr>
              <w:t xml:space="preserve"> </w:t>
            </w:r>
            <w:r w:rsidR="003D4ABB">
              <w:rPr>
                <w:sz w:val="24"/>
                <w:szCs w:val="32"/>
              </w:rPr>
              <w:t>A</w:t>
            </w:r>
            <w:r w:rsidR="001C452F" w:rsidRPr="009C0A3C">
              <w:rPr>
                <w:sz w:val="24"/>
                <w:szCs w:val="32"/>
              </w:rPr>
              <w:t xml:space="preserve">re there any issues you are aware of around the fee structure </w:t>
            </w:r>
            <w:r w:rsidR="00F321F9" w:rsidRPr="009C0A3C">
              <w:rPr>
                <w:sz w:val="24"/>
                <w:szCs w:val="32"/>
              </w:rPr>
              <w:t xml:space="preserve">for these arrangements </w:t>
            </w:r>
            <w:r w:rsidR="001C452F" w:rsidRPr="009C0A3C">
              <w:rPr>
                <w:sz w:val="24"/>
                <w:szCs w:val="32"/>
              </w:rPr>
              <w:t xml:space="preserve">or any other </w:t>
            </w:r>
            <w:r w:rsidR="00F321F9" w:rsidRPr="009C0A3C">
              <w:rPr>
                <w:sz w:val="24"/>
                <w:szCs w:val="32"/>
              </w:rPr>
              <w:t xml:space="preserve">relevant </w:t>
            </w:r>
            <w:r w:rsidR="001C452F" w:rsidRPr="009C0A3C">
              <w:rPr>
                <w:sz w:val="24"/>
                <w:szCs w:val="32"/>
              </w:rPr>
              <w:t>matter</w:t>
            </w:r>
            <w:r w:rsidR="00F321F9" w:rsidRPr="009C0A3C">
              <w:rPr>
                <w:sz w:val="24"/>
                <w:szCs w:val="32"/>
              </w:rPr>
              <w:t>?</w:t>
            </w:r>
          </w:p>
          <w:p w14:paraId="7885C8D5" w14:textId="1CFF7619" w:rsidR="001C452F" w:rsidRPr="00D936A7" w:rsidRDefault="001C452F" w:rsidP="0019309F">
            <w:pPr>
              <w:pStyle w:val="ListParagraph"/>
              <w:jc w:val="left"/>
            </w:pPr>
            <w:r w:rsidRPr="009C0A3C">
              <w:rPr>
                <w:sz w:val="24"/>
                <w:szCs w:val="32"/>
              </w:rPr>
              <w:t>Are disclosure requirements for voluntary sharing arrangements currently clear? If not, what improvements could be made</w:t>
            </w:r>
            <w:r w:rsidR="003F7731" w:rsidRPr="009C0A3C">
              <w:rPr>
                <w:sz w:val="24"/>
                <w:szCs w:val="32"/>
              </w:rPr>
              <w:t>?</w:t>
            </w:r>
          </w:p>
        </w:tc>
      </w:tr>
    </w:tbl>
    <w:p w14:paraId="1F787036" w14:textId="3F41C96B" w:rsidR="00F51355" w:rsidRPr="00F51355" w:rsidRDefault="007B4A30" w:rsidP="0019309F">
      <w:pPr>
        <w:pStyle w:val="Heading2"/>
        <w:jc w:val="left"/>
      </w:pPr>
      <w:bookmarkStart w:id="156" w:name="_Toc219884883"/>
      <w:r>
        <w:t xml:space="preserve">Park </w:t>
      </w:r>
      <w:r w:rsidR="003D4ABB">
        <w:t>r</w:t>
      </w:r>
      <w:r>
        <w:t>ules</w:t>
      </w:r>
      <w:bookmarkEnd w:id="156"/>
    </w:p>
    <w:p w14:paraId="4740ADAD" w14:textId="0B4927AD" w:rsidR="007B4A30" w:rsidRPr="00232F70" w:rsidRDefault="007B4A30" w:rsidP="0019309F">
      <w:pPr>
        <w:pStyle w:val="Heading3"/>
        <w:jc w:val="left"/>
      </w:pPr>
      <w:bookmarkStart w:id="157" w:name="_Toc219884884"/>
      <w:r w:rsidRPr="00B74D60">
        <w:t>Issue</w:t>
      </w:r>
      <w:r>
        <w:t>s</w:t>
      </w:r>
      <w:bookmarkEnd w:id="157"/>
    </w:p>
    <w:p w14:paraId="46F7BBE6" w14:textId="58B34815" w:rsidR="003A5050" w:rsidRDefault="007B4A30" w:rsidP="0019309F">
      <w:pPr>
        <w:pStyle w:val="BodyText"/>
        <w:jc w:val="left"/>
      </w:pPr>
      <w:r>
        <w:t>Park rules can be used to establish behavioural expectations for both park operators and long-stay tenants on the use, enjoyment, control and management of the park</w:t>
      </w:r>
      <w:r w:rsidR="002F2477">
        <w:t>.</w:t>
      </w:r>
      <w:r>
        <w:rPr>
          <w:rStyle w:val="FootnoteReference"/>
        </w:rPr>
        <w:footnoteReference w:id="36"/>
      </w:r>
      <w:r w:rsidR="003A5050">
        <w:t xml:space="preserve"> </w:t>
      </w:r>
      <w:r w:rsidR="00656DCA">
        <w:t>This review is considering whether</w:t>
      </w:r>
      <w:r w:rsidR="003A5050">
        <w:t xml:space="preserve"> park rules are known by long-stay tenants, are effective in establishing behavioural expectations and are made or amended by the operator with engagement from tenants</w:t>
      </w:r>
      <w:r w:rsidR="00572AAC">
        <w:t xml:space="preserve"> in accordance with the Act and Regulations</w:t>
      </w:r>
      <w:r w:rsidR="003A5050">
        <w:t>.</w:t>
      </w:r>
    </w:p>
    <w:p w14:paraId="24CEE9C3" w14:textId="5B77702E" w:rsidR="003A5050" w:rsidRDefault="003A5050" w:rsidP="0019309F">
      <w:pPr>
        <w:pStyle w:val="Heading3"/>
        <w:jc w:val="left"/>
      </w:pPr>
      <w:bookmarkStart w:id="158" w:name="_Toc219884885"/>
      <w:r w:rsidRPr="00B74D60">
        <w:lastRenderedPageBreak/>
        <w:t>Current requirement</w:t>
      </w:r>
      <w:r>
        <w:t>s</w:t>
      </w:r>
      <w:bookmarkEnd w:id="158"/>
    </w:p>
    <w:p w14:paraId="176DC421" w14:textId="224ADC61" w:rsidR="007B4A30" w:rsidRDefault="003A5050" w:rsidP="0019309F">
      <w:pPr>
        <w:pStyle w:val="BodyText"/>
        <w:jc w:val="left"/>
      </w:pPr>
      <w:r>
        <w:t xml:space="preserve">It is not mandatory for a park operator to make park rules, although if they are made, they must contain matters outlined in the </w:t>
      </w:r>
      <w:r w:rsidR="00347CBA">
        <w:t>R</w:t>
      </w:r>
      <w:r>
        <w:t>egulations, such as noise restrictions, parking and supervision of children</w:t>
      </w:r>
      <w:r w:rsidR="002F2477">
        <w:t>.</w:t>
      </w:r>
      <w:r>
        <w:rPr>
          <w:rStyle w:val="FootnoteReference"/>
        </w:rPr>
        <w:footnoteReference w:id="37"/>
      </w:r>
      <w:r>
        <w:t xml:space="preserve"> Park rules must be made or altered in accordance with the Regulations, for example, by providing </w:t>
      </w:r>
      <w:r w:rsidR="006B22DF">
        <w:t xml:space="preserve">each long-stay tenant with </w:t>
      </w:r>
      <w:r>
        <w:t>written notice of the proposal to make or alter rules</w:t>
      </w:r>
      <w:r w:rsidR="002F2477">
        <w:t>.</w:t>
      </w:r>
      <w:r>
        <w:rPr>
          <w:rStyle w:val="FootnoteReference"/>
        </w:rPr>
        <w:footnoteReference w:id="38"/>
      </w:r>
    </w:p>
    <w:p w14:paraId="7B412388" w14:textId="543BE53F" w:rsidR="00D02964" w:rsidRDefault="00D02964" w:rsidP="0019309F">
      <w:pPr>
        <w:pStyle w:val="BodyText"/>
        <w:jc w:val="left"/>
      </w:pPr>
      <w:r>
        <w:t>Park operators and long-stay tenants must comply with park rules</w:t>
      </w:r>
      <w:r w:rsidR="002F2477">
        <w:t>.</w:t>
      </w:r>
      <w:r>
        <w:rPr>
          <w:rStyle w:val="FootnoteReference"/>
        </w:rPr>
        <w:footnoteReference w:id="39"/>
      </w:r>
      <w:r>
        <w:t xml:space="preserve"> Long-stay agreements must include a term that the parties agree to comply with the park rules</w:t>
      </w:r>
      <w:r w:rsidR="002F2477">
        <w:t>.</w:t>
      </w:r>
      <w:r>
        <w:rPr>
          <w:rStyle w:val="FootnoteReference"/>
        </w:rPr>
        <w:footnoteReference w:id="40"/>
      </w:r>
    </w:p>
    <w:p w14:paraId="66D765D0" w14:textId="18D684CB" w:rsidR="00B74D60" w:rsidRDefault="00B74D60" w:rsidP="0019309F">
      <w:pPr>
        <w:pStyle w:val="BodyText"/>
        <w:jc w:val="left"/>
      </w:pPr>
      <w:r>
        <w:t>If the tenant breaches the park rules, the operator may give a default notice to the long-stay tenant and, if the default is not remedied within 14 days of service of the notice, may provide a termination notice</w:t>
      </w:r>
      <w:r w:rsidR="002F2477">
        <w:t>.</w:t>
      </w:r>
      <w:r>
        <w:rPr>
          <w:rStyle w:val="FootnoteReference"/>
        </w:rPr>
        <w:footnoteReference w:id="41"/>
      </w:r>
    </w:p>
    <w:p w14:paraId="06B25A9A" w14:textId="7BA4CC0B" w:rsidR="006B22DF" w:rsidRDefault="006B22DF" w:rsidP="0019309F">
      <w:pPr>
        <w:pStyle w:val="Heading3"/>
        <w:jc w:val="left"/>
      </w:pPr>
      <w:bookmarkStart w:id="159" w:name="_Toc219884886"/>
      <w:r w:rsidRPr="00B74D60">
        <w:t>Feedbac</w:t>
      </w:r>
      <w:r>
        <w:t>k</w:t>
      </w:r>
      <w:bookmarkEnd w:id="159"/>
    </w:p>
    <w:p w14:paraId="01D7B22D" w14:textId="12070E6C" w:rsidR="006B22DF" w:rsidRDefault="006B22DF" w:rsidP="0019309F">
      <w:pPr>
        <w:pStyle w:val="BodyText"/>
        <w:jc w:val="left"/>
      </w:pPr>
      <w:r>
        <w:t>LGIRS is interested to know if park rules are effective in setting behavioural expectations in residential parks and</w:t>
      </w:r>
      <w:r w:rsidR="00656DCA">
        <w:t xml:space="preserve"> whether</w:t>
      </w:r>
      <w:r>
        <w:t xml:space="preserve"> the processes </w:t>
      </w:r>
      <w:r w:rsidR="00656DCA">
        <w:t>for making or amending park rules are</w:t>
      </w:r>
      <w:r>
        <w:t xml:space="preserve"> a</w:t>
      </w:r>
      <w:r w:rsidR="00D02964">
        <w:t>ppropriate</w:t>
      </w:r>
      <w:r>
        <w:t>.</w:t>
      </w:r>
    </w:p>
    <w:tbl>
      <w:tblPr>
        <w:tblStyle w:val="TableGrid"/>
        <w:tblW w:w="0" w:type="auto"/>
        <w:tblInd w:w="-5" w:type="dxa"/>
        <w:tblLook w:val="04A0" w:firstRow="1" w:lastRow="0" w:firstColumn="1" w:lastColumn="0" w:noHBand="0" w:noVBand="1"/>
      </w:tblPr>
      <w:tblGrid>
        <w:gridCol w:w="9015"/>
      </w:tblGrid>
      <w:tr w:rsidR="00B74D60" w14:paraId="1AA3F9AE" w14:textId="77777777" w:rsidTr="00232F70">
        <w:tc>
          <w:tcPr>
            <w:tcW w:w="9015" w:type="dxa"/>
          </w:tcPr>
          <w:p w14:paraId="05BCAFA6" w14:textId="4CB5ED38" w:rsidR="00B74D60" w:rsidRPr="002C7297" w:rsidRDefault="00B74D60" w:rsidP="0019309F">
            <w:pPr>
              <w:pStyle w:val="BodyText"/>
              <w:jc w:val="left"/>
            </w:pPr>
            <w:r w:rsidRPr="003F7731">
              <w:rPr>
                <w:b/>
                <w:bCs/>
                <w:sz w:val="24"/>
                <w:szCs w:val="28"/>
              </w:rPr>
              <w:t>Consultation questio</w:t>
            </w:r>
            <w:r w:rsidR="003F7731">
              <w:rPr>
                <w:b/>
                <w:bCs/>
                <w:sz w:val="24"/>
                <w:szCs w:val="28"/>
              </w:rPr>
              <w:t>n</w:t>
            </w:r>
          </w:p>
          <w:p w14:paraId="192A4BA6" w14:textId="46E1D626" w:rsidR="009D46F3" w:rsidRPr="009C0A3C" w:rsidRDefault="009D46F3" w:rsidP="0019309F">
            <w:pPr>
              <w:pStyle w:val="ListParagraph"/>
              <w:jc w:val="left"/>
              <w:rPr>
                <w:sz w:val="24"/>
                <w:szCs w:val="32"/>
              </w:rPr>
            </w:pPr>
            <w:r w:rsidRPr="009C0A3C">
              <w:rPr>
                <w:sz w:val="24"/>
                <w:szCs w:val="32"/>
              </w:rPr>
              <w:t>Have any issues arisen in your park in relation to park rules?</w:t>
            </w:r>
          </w:p>
          <w:p w14:paraId="1AC5358C" w14:textId="34E2D2F9" w:rsidR="009D46F3" w:rsidRPr="00D936A7" w:rsidRDefault="009D46F3" w:rsidP="0019309F">
            <w:pPr>
              <w:pStyle w:val="ListParagraph"/>
              <w:jc w:val="left"/>
            </w:pPr>
            <w:r w:rsidRPr="009C0A3C">
              <w:rPr>
                <w:sz w:val="24"/>
                <w:szCs w:val="32"/>
              </w:rPr>
              <w:t>Are the current requirements of the Act in relation to park rules appropriate?</w:t>
            </w:r>
          </w:p>
        </w:tc>
      </w:tr>
    </w:tbl>
    <w:p w14:paraId="7B34334D" w14:textId="1FE54CEB" w:rsidR="00726A85" w:rsidRDefault="00726A85" w:rsidP="0019309F">
      <w:pPr>
        <w:pStyle w:val="Heading2"/>
        <w:jc w:val="left"/>
      </w:pPr>
      <w:bookmarkStart w:id="160" w:name="_Toc219884887"/>
      <w:r>
        <w:t>Park operator awareness of regulatory rights and obligations</w:t>
      </w:r>
      <w:bookmarkEnd w:id="160"/>
    </w:p>
    <w:p w14:paraId="5394EA31" w14:textId="4F6561B2" w:rsidR="00726A85" w:rsidRDefault="00726A85" w:rsidP="0019309F">
      <w:pPr>
        <w:pStyle w:val="Heading3"/>
        <w:jc w:val="left"/>
      </w:pPr>
      <w:bookmarkStart w:id="161" w:name="_Toc219884888"/>
      <w:r>
        <w:t>Issues</w:t>
      </w:r>
      <w:bookmarkEnd w:id="161"/>
    </w:p>
    <w:p w14:paraId="6AF1D57C" w14:textId="21A14AE0" w:rsidR="00DC5987" w:rsidRDefault="00404CAA" w:rsidP="0019309F">
      <w:pPr>
        <w:pStyle w:val="BodyText"/>
        <w:jc w:val="left"/>
      </w:pPr>
      <w:r>
        <w:t xml:space="preserve">Advocates of long-stay tenants have raised concerns about the behaviour of park operators and managers and </w:t>
      </w:r>
      <w:r w:rsidR="00747F1F">
        <w:t>suggest that some may lack</w:t>
      </w:r>
      <w:r>
        <w:t xml:space="preserve"> familiarity with their regulatory</w:t>
      </w:r>
      <w:r w:rsidR="00952785">
        <w:t xml:space="preserve"> rights and</w:t>
      </w:r>
      <w:r>
        <w:t xml:space="preserve"> obligations.</w:t>
      </w:r>
      <w:r w:rsidR="005B676B">
        <w:t xml:space="preserve"> </w:t>
      </w:r>
      <w:r w:rsidR="000F77DF">
        <w:t>LGIRS’s</w:t>
      </w:r>
      <w:r w:rsidR="00DC00F9">
        <w:t xml:space="preserve"> </w:t>
      </w:r>
      <w:hyperlink r:id="rId20" w:history="1">
        <w:r w:rsidR="00DC00F9" w:rsidRPr="00B23C32">
          <w:rPr>
            <w:rStyle w:val="Hyperlink"/>
          </w:rPr>
          <w:t xml:space="preserve">Park Living </w:t>
        </w:r>
        <w:r w:rsidR="00E13CAE" w:rsidRPr="00B23C32">
          <w:rPr>
            <w:rStyle w:val="Hyperlink"/>
          </w:rPr>
          <w:t xml:space="preserve">Information </w:t>
        </w:r>
        <w:r w:rsidR="00B23C32" w:rsidRPr="00B23C32">
          <w:rPr>
            <w:rStyle w:val="Hyperlink"/>
          </w:rPr>
          <w:t>B</w:t>
        </w:r>
        <w:r w:rsidR="00E13CAE" w:rsidRPr="00B23C32">
          <w:rPr>
            <w:rStyle w:val="Hyperlink"/>
          </w:rPr>
          <w:t>ooklet</w:t>
        </w:r>
      </w:hyperlink>
      <w:r w:rsidR="00E13CAE">
        <w:t xml:space="preserve"> </w:t>
      </w:r>
      <w:r w:rsidR="00DC00F9">
        <w:t xml:space="preserve">does outline the regulatory </w:t>
      </w:r>
      <w:r w:rsidR="00C9071F">
        <w:t xml:space="preserve">rights and </w:t>
      </w:r>
      <w:r w:rsidR="00DC00F9">
        <w:t xml:space="preserve">obligations of park operators and their agents. </w:t>
      </w:r>
    </w:p>
    <w:p w14:paraId="7E21293E" w14:textId="40A210AF" w:rsidR="00B74D60" w:rsidRDefault="00B35B8E" w:rsidP="0019309F">
      <w:pPr>
        <w:pStyle w:val="BodyText"/>
        <w:jc w:val="left"/>
      </w:pPr>
      <w:r>
        <w:t>Options for improving</w:t>
      </w:r>
      <w:r w:rsidR="00DC5987">
        <w:t xml:space="preserve"> the level of compliance and understanding of park </w:t>
      </w:r>
      <w:r w:rsidR="00C9071F">
        <w:t xml:space="preserve">operators and their agents </w:t>
      </w:r>
      <w:r w:rsidR="00747F1F">
        <w:t xml:space="preserve">include </w:t>
      </w:r>
      <w:r w:rsidR="00DC5987">
        <w:t xml:space="preserve">conducting community education and publishing </w:t>
      </w:r>
      <w:r w:rsidR="00CB44B1">
        <w:t xml:space="preserve">additional </w:t>
      </w:r>
      <w:r w:rsidR="00DC5987">
        <w:t>targeted material for the sector</w:t>
      </w:r>
      <w:r w:rsidR="00004592">
        <w:t xml:space="preserve">. </w:t>
      </w:r>
      <w:r w:rsidR="00DC5987">
        <w:t xml:space="preserve">There may be other options, for example, </w:t>
      </w:r>
      <w:r w:rsidR="00A8117E">
        <w:t xml:space="preserve">requiring new operators </w:t>
      </w:r>
      <w:r w:rsidR="00A62BEF">
        <w:t xml:space="preserve">and managers </w:t>
      </w:r>
      <w:r w:rsidR="00A8117E">
        <w:t>to attend an educational briefing</w:t>
      </w:r>
      <w:r w:rsidR="00DC5987">
        <w:t xml:space="preserve"> </w:t>
      </w:r>
      <w:r w:rsidR="00A8117E">
        <w:t>on</w:t>
      </w:r>
      <w:r w:rsidR="00DC5987">
        <w:t xml:space="preserve"> their obligations</w:t>
      </w:r>
      <w:r w:rsidR="002F2477">
        <w:t>.</w:t>
      </w:r>
      <w:r w:rsidR="00DC5987">
        <w:rPr>
          <w:rStyle w:val="FootnoteReference"/>
        </w:rPr>
        <w:footnoteReference w:id="42"/>
      </w:r>
      <w:r w:rsidR="00DC5987">
        <w:t xml:space="preserve"> </w:t>
      </w:r>
    </w:p>
    <w:p w14:paraId="469ECA82" w14:textId="2466DEEB" w:rsidR="00B74D60" w:rsidRDefault="00B74D60" w:rsidP="0019309F">
      <w:pPr>
        <w:pStyle w:val="Heading3"/>
        <w:jc w:val="left"/>
      </w:pPr>
      <w:bookmarkStart w:id="162" w:name="_Toc219884889"/>
      <w:r w:rsidRPr="00B74D60">
        <w:lastRenderedPageBreak/>
        <w:t xml:space="preserve">Current </w:t>
      </w:r>
      <w:r w:rsidR="00347CBA">
        <w:t>r</w:t>
      </w:r>
      <w:r w:rsidRPr="00B74D60">
        <w:t>equiremen</w:t>
      </w:r>
      <w:r w:rsidRPr="00232F70">
        <w:t>t</w:t>
      </w:r>
      <w:r>
        <w:t>s</w:t>
      </w:r>
      <w:bookmarkEnd w:id="162"/>
    </w:p>
    <w:p w14:paraId="104917F0" w14:textId="4A243D8E" w:rsidR="00B74D60" w:rsidRDefault="00B74D60" w:rsidP="0019309F">
      <w:pPr>
        <w:pStyle w:val="BodyText"/>
        <w:jc w:val="left"/>
      </w:pPr>
      <w:r>
        <w:t xml:space="preserve">The Act does not impose any specific requirements on park operators, managers or other park employees </w:t>
      </w:r>
      <w:r w:rsidR="007D479E">
        <w:t>regarding</w:t>
      </w:r>
      <w:r>
        <w:t xml:space="preserve"> qualifications or obligations to maintain or improve the quality of their service.</w:t>
      </w:r>
    </w:p>
    <w:p w14:paraId="75DDB46C" w14:textId="25142D91" w:rsidR="00B74D60" w:rsidRDefault="00843452" w:rsidP="0019309F">
      <w:pPr>
        <w:pStyle w:val="Heading3"/>
        <w:jc w:val="left"/>
      </w:pPr>
      <w:bookmarkStart w:id="163" w:name="_Toc219884890"/>
      <w:r>
        <w:t>F</w:t>
      </w:r>
      <w:r w:rsidR="00B74D60" w:rsidRPr="00B74D60">
        <w:t>eedbac</w:t>
      </w:r>
      <w:r w:rsidR="00B74D60">
        <w:t>k</w:t>
      </w:r>
      <w:bookmarkEnd w:id="163"/>
      <w:r w:rsidR="00B74D60">
        <w:t xml:space="preserve"> </w:t>
      </w:r>
    </w:p>
    <w:p w14:paraId="0FB2A09E" w14:textId="69280870" w:rsidR="00B74D60" w:rsidRDefault="00B74D60" w:rsidP="0019309F">
      <w:pPr>
        <w:pStyle w:val="BodyText"/>
        <w:jc w:val="left"/>
      </w:pPr>
      <w:r>
        <w:t xml:space="preserve">LGIRS is interested to know if park operators are aware of their current obligations and </w:t>
      </w:r>
      <w:r w:rsidR="00CB44B1">
        <w:t>whether there are any opportunities to improve awareness.</w:t>
      </w:r>
    </w:p>
    <w:tbl>
      <w:tblPr>
        <w:tblStyle w:val="TableGrid"/>
        <w:tblW w:w="0" w:type="auto"/>
        <w:tblLook w:val="04A0" w:firstRow="1" w:lastRow="0" w:firstColumn="1" w:lastColumn="0" w:noHBand="0" w:noVBand="1"/>
      </w:tblPr>
      <w:tblGrid>
        <w:gridCol w:w="9010"/>
      </w:tblGrid>
      <w:tr w:rsidR="00BF7BA0" w14:paraId="6D75DFA6" w14:textId="77777777" w:rsidTr="00BF7BA0">
        <w:tc>
          <w:tcPr>
            <w:tcW w:w="9010" w:type="dxa"/>
          </w:tcPr>
          <w:p w14:paraId="081955D3" w14:textId="1902D253" w:rsidR="00BF7BA0" w:rsidRPr="00843452" w:rsidRDefault="00BF7BA0" w:rsidP="0019309F">
            <w:pPr>
              <w:pStyle w:val="BodyText"/>
              <w:jc w:val="left"/>
            </w:pPr>
            <w:r w:rsidRPr="003F7731">
              <w:rPr>
                <w:b/>
                <w:bCs/>
                <w:sz w:val="24"/>
                <w:szCs w:val="28"/>
              </w:rPr>
              <w:t>Consultation question</w:t>
            </w:r>
            <w:r w:rsidR="003F7731">
              <w:rPr>
                <w:b/>
                <w:bCs/>
                <w:sz w:val="24"/>
                <w:szCs w:val="28"/>
              </w:rPr>
              <w:t>s</w:t>
            </w:r>
          </w:p>
          <w:p w14:paraId="6578F83F" w14:textId="69BE1F32" w:rsidR="00BF7BA0" w:rsidRPr="009C0A3C" w:rsidRDefault="00BF7BA0" w:rsidP="0019309F">
            <w:pPr>
              <w:pStyle w:val="ListParagraph"/>
              <w:jc w:val="left"/>
              <w:rPr>
                <w:sz w:val="24"/>
                <w:szCs w:val="32"/>
              </w:rPr>
            </w:pPr>
            <w:r w:rsidRPr="009C0A3C">
              <w:rPr>
                <w:sz w:val="24"/>
                <w:szCs w:val="32"/>
              </w:rPr>
              <w:t xml:space="preserve">Do park operators need to be more aware of their </w:t>
            </w:r>
            <w:r w:rsidR="00C9071F" w:rsidRPr="009C0A3C">
              <w:rPr>
                <w:sz w:val="24"/>
                <w:szCs w:val="32"/>
              </w:rPr>
              <w:t xml:space="preserve">rights and </w:t>
            </w:r>
            <w:r w:rsidRPr="009C0A3C">
              <w:rPr>
                <w:sz w:val="24"/>
                <w:szCs w:val="32"/>
              </w:rPr>
              <w:t>obligations? If yes, how?</w:t>
            </w:r>
          </w:p>
          <w:p w14:paraId="1E2AE595" w14:textId="6B5A41A8" w:rsidR="00952785" w:rsidRPr="009C0A3C" w:rsidRDefault="00952785" w:rsidP="0019309F">
            <w:pPr>
              <w:pStyle w:val="ListParagraph"/>
              <w:jc w:val="left"/>
              <w:rPr>
                <w:sz w:val="24"/>
                <w:szCs w:val="32"/>
              </w:rPr>
            </w:pPr>
            <w:r w:rsidRPr="009C0A3C">
              <w:rPr>
                <w:sz w:val="24"/>
                <w:szCs w:val="32"/>
              </w:rPr>
              <w:t xml:space="preserve">Have you experienced any issues of poor behaviour by operators? If </w:t>
            </w:r>
            <w:r w:rsidR="007D479E">
              <w:rPr>
                <w:sz w:val="24"/>
                <w:szCs w:val="32"/>
              </w:rPr>
              <w:t>yes</w:t>
            </w:r>
            <w:r w:rsidRPr="009C0A3C">
              <w:rPr>
                <w:sz w:val="24"/>
                <w:szCs w:val="32"/>
              </w:rPr>
              <w:t>, are the current laws adequate for dealing with that behaviour?</w:t>
            </w:r>
          </w:p>
          <w:p w14:paraId="52890446" w14:textId="1585A1FB" w:rsidR="00952785" w:rsidRPr="00D936A7" w:rsidRDefault="00952785" w:rsidP="0019309F">
            <w:pPr>
              <w:pStyle w:val="ListParagraph"/>
              <w:jc w:val="left"/>
            </w:pPr>
            <w:r w:rsidRPr="009C0A3C">
              <w:rPr>
                <w:sz w:val="24"/>
                <w:szCs w:val="32"/>
              </w:rPr>
              <w:t>What type of behaviour, if any, does the Act not adequately address</w:t>
            </w:r>
            <w:r w:rsidR="003F7731" w:rsidRPr="009C0A3C">
              <w:rPr>
                <w:sz w:val="24"/>
                <w:szCs w:val="32"/>
              </w:rPr>
              <w:t>?</w:t>
            </w:r>
          </w:p>
        </w:tc>
      </w:tr>
    </w:tbl>
    <w:p w14:paraId="2C183141" w14:textId="39B87C88" w:rsidR="00726A85" w:rsidRDefault="00726A85" w:rsidP="0019309F">
      <w:pPr>
        <w:pStyle w:val="Heading2"/>
        <w:jc w:val="left"/>
      </w:pPr>
      <w:bookmarkStart w:id="164" w:name="_Toc219884891"/>
      <w:r>
        <w:t>Retaliatory action</w:t>
      </w:r>
      <w:bookmarkEnd w:id="164"/>
    </w:p>
    <w:p w14:paraId="248BD580" w14:textId="4983DD91" w:rsidR="00726A85" w:rsidRDefault="00726A85" w:rsidP="0019309F">
      <w:pPr>
        <w:pStyle w:val="Heading3"/>
        <w:jc w:val="left"/>
      </w:pPr>
      <w:bookmarkStart w:id="165" w:name="_Toc219884892"/>
      <w:r>
        <w:t>Issue</w:t>
      </w:r>
      <w:bookmarkEnd w:id="165"/>
    </w:p>
    <w:p w14:paraId="0285587C" w14:textId="213E0B40" w:rsidR="00616815" w:rsidRDefault="00616815" w:rsidP="0019309F">
      <w:pPr>
        <w:pStyle w:val="BodyText"/>
        <w:jc w:val="left"/>
      </w:pPr>
      <w:r>
        <w:t xml:space="preserve">Preliminary consultation with stakeholders has indicated that long-stay tenants are unlikely to lodge a complaint or raise a dispute against an operator </w:t>
      </w:r>
      <w:r w:rsidR="00CB44B1">
        <w:t xml:space="preserve">through a fear </w:t>
      </w:r>
      <w:r>
        <w:t>this may lead to their</w:t>
      </w:r>
      <w:r w:rsidR="00CF2045">
        <w:t xml:space="preserve"> eviction</w:t>
      </w:r>
      <w:r w:rsidR="00CB44B1">
        <w:t xml:space="preserve"> </w:t>
      </w:r>
      <w:r>
        <w:t>from the park</w:t>
      </w:r>
      <w:r w:rsidR="00CB44B1">
        <w:t xml:space="preserve"> or other action in retaliation</w:t>
      </w:r>
      <w:r>
        <w:t xml:space="preserve">. </w:t>
      </w:r>
    </w:p>
    <w:p w14:paraId="7BFCDF16" w14:textId="0095B868" w:rsidR="00A67879" w:rsidRDefault="00616815" w:rsidP="0019309F">
      <w:pPr>
        <w:pStyle w:val="Heading3"/>
        <w:jc w:val="left"/>
      </w:pPr>
      <w:bookmarkStart w:id="166" w:name="_Toc219884893"/>
      <w:r>
        <w:t xml:space="preserve">Current </w:t>
      </w:r>
      <w:r w:rsidR="007D479E">
        <w:t>r</w:t>
      </w:r>
      <w:r>
        <w:t>equirements</w:t>
      </w:r>
      <w:bookmarkEnd w:id="166"/>
    </w:p>
    <w:p w14:paraId="0A1A07FD" w14:textId="0383B7ED" w:rsidR="00404CAA" w:rsidRDefault="00660284" w:rsidP="0019309F">
      <w:pPr>
        <w:pStyle w:val="BodyText"/>
        <w:jc w:val="left"/>
      </w:pPr>
      <w:r>
        <w:t xml:space="preserve">The </w:t>
      </w:r>
      <w:r w:rsidR="000E390E">
        <w:t>A</w:t>
      </w:r>
      <w:r w:rsidR="003064C4">
        <w:t>ct</w:t>
      </w:r>
      <w:r>
        <w:t xml:space="preserve"> presently provide</w:t>
      </w:r>
      <w:r w:rsidR="004B7E26">
        <w:t>s</w:t>
      </w:r>
      <w:r>
        <w:t xml:space="preserve"> protection for long-stay tenants against retaliatory action by operators in response to a long-stay tenant making a complaint or enforcing their rights</w:t>
      </w:r>
      <w:r w:rsidR="00CB35A8">
        <w:t xml:space="preserve"> where</w:t>
      </w:r>
      <w:r w:rsidR="004B7E26">
        <w:t xml:space="preserve"> the operator has provided notice to terminate the agreement</w:t>
      </w:r>
      <w:r w:rsidR="002F2477">
        <w:t>.</w:t>
      </w:r>
      <w:r w:rsidR="004B7E26">
        <w:rPr>
          <w:rStyle w:val="FootnoteReference"/>
        </w:rPr>
        <w:footnoteReference w:id="43"/>
      </w:r>
      <w:r w:rsidR="00B07660">
        <w:t xml:space="preserve"> </w:t>
      </w:r>
      <w:r w:rsidR="004B7E26">
        <w:t xml:space="preserve">The </w:t>
      </w:r>
      <w:r w:rsidR="00E13CAE" w:rsidRPr="00B23C32">
        <w:t>RTA</w:t>
      </w:r>
      <w:r w:rsidR="004B7E26">
        <w:t xml:space="preserve"> extends the scope of this protection to</w:t>
      </w:r>
      <w:r>
        <w:t xml:space="preserve"> </w:t>
      </w:r>
      <w:r w:rsidR="00E276C1">
        <w:t xml:space="preserve">prevent </w:t>
      </w:r>
      <w:r w:rsidR="00004592">
        <w:t>a landlord increasing the rent</w:t>
      </w:r>
      <w:r w:rsidR="0074265D">
        <w:t>, issuing a breach notice</w:t>
      </w:r>
      <w:r w:rsidR="00004592">
        <w:t xml:space="preserve"> or refusing</w:t>
      </w:r>
      <w:r w:rsidR="004B7E26">
        <w:t xml:space="preserve"> </w:t>
      </w:r>
      <w:r>
        <w:t xml:space="preserve">to offer </w:t>
      </w:r>
      <w:r w:rsidR="00004592">
        <w:t>the</w:t>
      </w:r>
      <w:r>
        <w:t xml:space="preserve"> tenant a new agreement</w:t>
      </w:r>
      <w:r w:rsidR="00E276C1">
        <w:t xml:space="preserve"> in those circumstances</w:t>
      </w:r>
      <w:r w:rsidR="002F2477">
        <w:t>.</w:t>
      </w:r>
      <w:r w:rsidR="004B7E26">
        <w:rPr>
          <w:rStyle w:val="FootnoteReference"/>
        </w:rPr>
        <w:footnoteReference w:id="44"/>
      </w:r>
      <w:r w:rsidR="00F91D84">
        <w:t xml:space="preserve"> </w:t>
      </w:r>
    </w:p>
    <w:p w14:paraId="426C91F9" w14:textId="4247AF80" w:rsidR="00616815" w:rsidRDefault="00616815" w:rsidP="0019309F">
      <w:pPr>
        <w:pStyle w:val="Heading3"/>
        <w:jc w:val="left"/>
      </w:pPr>
      <w:bookmarkStart w:id="167" w:name="_Toc219884894"/>
      <w:r>
        <w:t>Feedback</w:t>
      </w:r>
      <w:bookmarkEnd w:id="167"/>
    </w:p>
    <w:p w14:paraId="057AF629" w14:textId="019676E8" w:rsidR="007A2418" w:rsidRDefault="00BF7BA0" w:rsidP="0019309F">
      <w:pPr>
        <w:pStyle w:val="BodyText"/>
        <w:jc w:val="left"/>
      </w:pPr>
      <w:r>
        <w:t xml:space="preserve">LGIRS is interested to know </w:t>
      </w:r>
      <w:r w:rsidR="00572AAC">
        <w:t>about concerns of long-stay tenants regarding retaliatory action by operators</w:t>
      </w:r>
      <w:r>
        <w:t>.</w:t>
      </w:r>
    </w:p>
    <w:tbl>
      <w:tblPr>
        <w:tblStyle w:val="TableGrid"/>
        <w:tblW w:w="0" w:type="auto"/>
        <w:tblLook w:val="04A0" w:firstRow="1" w:lastRow="0" w:firstColumn="1" w:lastColumn="0" w:noHBand="0" w:noVBand="1"/>
      </w:tblPr>
      <w:tblGrid>
        <w:gridCol w:w="9010"/>
      </w:tblGrid>
      <w:tr w:rsidR="000524C5" w14:paraId="61A43BA6" w14:textId="77777777" w:rsidTr="000524C5">
        <w:tc>
          <w:tcPr>
            <w:tcW w:w="9010" w:type="dxa"/>
          </w:tcPr>
          <w:p w14:paraId="0FF1FBA7" w14:textId="23296625" w:rsidR="000524C5" w:rsidRPr="005B6C74" w:rsidRDefault="000524C5" w:rsidP="0019309F">
            <w:pPr>
              <w:pStyle w:val="BodyText"/>
              <w:jc w:val="left"/>
              <w:rPr>
                <w:sz w:val="24"/>
              </w:rPr>
            </w:pPr>
            <w:r w:rsidRPr="003F7731">
              <w:rPr>
                <w:b/>
                <w:bCs/>
                <w:sz w:val="24"/>
                <w:szCs w:val="28"/>
              </w:rPr>
              <w:t>Consultation question</w:t>
            </w:r>
            <w:r w:rsidR="003F7731">
              <w:rPr>
                <w:b/>
                <w:bCs/>
                <w:sz w:val="24"/>
                <w:szCs w:val="28"/>
              </w:rPr>
              <w:t>s</w:t>
            </w:r>
          </w:p>
          <w:p w14:paraId="2C30A7DB" w14:textId="3EA39307" w:rsidR="000524C5" w:rsidRPr="00D868BB" w:rsidRDefault="000524C5" w:rsidP="0019309F">
            <w:pPr>
              <w:pStyle w:val="ListParagraph"/>
              <w:jc w:val="left"/>
            </w:pPr>
            <w:r w:rsidRPr="009C0A3C">
              <w:rPr>
                <w:sz w:val="24"/>
                <w:szCs w:val="32"/>
              </w:rPr>
              <w:t>Is the current protection for long-stay tenants from retaliatory action by operators in the Act sufficient</w:t>
            </w:r>
            <w:r w:rsidR="00497B64" w:rsidRPr="009C0A3C">
              <w:rPr>
                <w:sz w:val="24"/>
                <w:szCs w:val="32"/>
              </w:rPr>
              <w:t>?</w:t>
            </w:r>
          </w:p>
        </w:tc>
      </w:tr>
    </w:tbl>
    <w:p w14:paraId="3562ED13" w14:textId="2E7BB5E2" w:rsidR="0065059E" w:rsidRDefault="00CA2C4F" w:rsidP="0019309F">
      <w:pPr>
        <w:pStyle w:val="Heading2"/>
        <w:jc w:val="left"/>
      </w:pPr>
      <w:bookmarkStart w:id="168" w:name="_Toc219207087"/>
      <w:bookmarkStart w:id="169" w:name="_Toc219207092"/>
      <w:bookmarkStart w:id="170" w:name="_Toc219207093"/>
      <w:bookmarkStart w:id="171" w:name="_Toc219207094"/>
      <w:bookmarkStart w:id="172" w:name="_Toc219207095"/>
      <w:bookmarkStart w:id="173" w:name="_Toc219207096"/>
      <w:bookmarkStart w:id="174" w:name="_Toc219207097"/>
      <w:bookmarkStart w:id="175" w:name="_Toc219207098"/>
      <w:bookmarkStart w:id="176" w:name="_Toc219207099"/>
      <w:bookmarkStart w:id="177" w:name="_Toc219207101"/>
      <w:bookmarkStart w:id="178" w:name="_Toc219207102"/>
      <w:bookmarkStart w:id="179" w:name="_Toc219207103"/>
      <w:bookmarkStart w:id="180" w:name="_Toc219207104"/>
      <w:bookmarkStart w:id="181" w:name="_Toc219207105"/>
      <w:bookmarkStart w:id="182" w:name="_Toc219207106"/>
      <w:bookmarkStart w:id="183" w:name="_Toc219207107"/>
      <w:bookmarkStart w:id="184" w:name="_Toc219207108"/>
      <w:bookmarkStart w:id="185" w:name="_Toc219207109"/>
      <w:bookmarkStart w:id="186" w:name="_Toc219207110"/>
      <w:bookmarkStart w:id="187" w:name="_Toc219207111"/>
      <w:bookmarkStart w:id="188" w:name="_Toc219207112"/>
      <w:bookmarkStart w:id="189" w:name="_Toc219207113"/>
      <w:bookmarkStart w:id="190" w:name="_Toc219207114"/>
      <w:bookmarkStart w:id="191" w:name="_Toc219207115"/>
      <w:bookmarkStart w:id="192" w:name="_Toc219207116"/>
      <w:bookmarkStart w:id="193" w:name="_Toc214547343"/>
      <w:bookmarkStart w:id="194" w:name="_Toc215579540"/>
      <w:bookmarkStart w:id="195" w:name="_Toc215579626"/>
      <w:bookmarkStart w:id="196" w:name="_Toc215579711"/>
      <w:bookmarkStart w:id="197" w:name="_Toc219207117"/>
      <w:bookmarkStart w:id="198" w:name="_Toc219207118"/>
      <w:bookmarkStart w:id="199" w:name="_Toc219884895"/>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r>
        <w:lastRenderedPageBreak/>
        <w:t xml:space="preserve">Park </w:t>
      </w:r>
      <w:r w:rsidR="007D479E">
        <w:t>l</w:t>
      </w:r>
      <w:r>
        <w:t xml:space="preserve">iaison </w:t>
      </w:r>
      <w:r w:rsidR="007D479E">
        <w:t>c</w:t>
      </w:r>
      <w:r>
        <w:t>ommittees</w:t>
      </w:r>
      <w:bookmarkEnd w:id="199"/>
    </w:p>
    <w:p w14:paraId="305216A4" w14:textId="77777777" w:rsidR="003706E5" w:rsidRPr="000159BD" w:rsidRDefault="003706E5" w:rsidP="0019309F">
      <w:pPr>
        <w:pStyle w:val="Heading3"/>
        <w:jc w:val="left"/>
      </w:pPr>
      <w:bookmarkStart w:id="200" w:name="_Toc219884896"/>
      <w:r w:rsidRPr="000159BD">
        <w:t>Issues</w:t>
      </w:r>
      <w:bookmarkEnd w:id="200"/>
    </w:p>
    <w:p w14:paraId="583B5D2E" w14:textId="5EAF35D8" w:rsidR="003706E5" w:rsidRPr="008D140D" w:rsidRDefault="00F05253" w:rsidP="0019309F">
      <w:pPr>
        <w:pStyle w:val="BodyText"/>
        <w:jc w:val="left"/>
      </w:pPr>
      <w:r>
        <w:t xml:space="preserve">LGIRS </w:t>
      </w:r>
      <w:r w:rsidR="00A872C4">
        <w:t xml:space="preserve">seeks feedback on whether </w:t>
      </w:r>
      <w:r w:rsidR="003706E5">
        <w:t xml:space="preserve">park liaison committees are effective in representing the interests of long-stay tenants and </w:t>
      </w:r>
      <w:r w:rsidR="00806D03">
        <w:t>a</w:t>
      </w:r>
      <w:r w:rsidR="00722793">
        <w:t>ssist</w:t>
      </w:r>
      <w:r w:rsidR="007963FB">
        <w:t>ing</w:t>
      </w:r>
      <w:r w:rsidR="00722793">
        <w:t xml:space="preserve"> </w:t>
      </w:r>
      <w:r w:rsidR="003706E5">
        <w:t>park operators</w:t>
      </w:r>
      <w:r w:rsidR="00806D03">
        <w:t xml:space="preserve"> </w:t>
      </w:r>
      <w:r w:rsidR="003706E5">
        <w:t xml:space="preserve">maintain and improve the lifestyle and wellbeing of </w:t>
      </w:r>
      <w:r w:rsidR="00043BE5">
        <w:t>residents.</w:t>
      </w:r>
    </w:p>
    <w:p w14:paraId="7872921D" w14:textId="77777777" w:rsidR="003706E5" w:rsidRPr="000159BD" w:rsidRDefault="003706E5" w:rsidP="0019309F">
      <w:pPr>
        <w:pStyle w:val="Heading3"/>
        <w:jc w:val="left"/>
      </w:pPr>
      <w:bookmarkStart w:id="201" w:name="_Toc219884897"/>
      <w:r w:rsidRPr="000159BD">
        <w:t>Current requirements</w:t>
      </w:r>
      <w:bookmarkEnd w:id="201"/>
    </w:p>
    <w:p w14:paraId="5E5C4BA8" w14:textId="73B76E87" w:rsidR="003706E5" w:rsidRDefault="00BD10DA" w:rsidP="0019309F">
      <w:pPr>
        <w:pStyle w:val="BodyText"/>
        <w:jc w:val="left"/>
      </w:pPr>
      <w:r>
        <w:t xml:space="preserve">The purpose of </w:t>
      </w:r>
      <w:r w:rsidR="00D8418A">
        <w:t xml:space="preserve">a park liaison </w:t>
      </w:r>
      <w:r>
        <w:t>committee is</w:t>
      </w:r>
      <w:r w:rsidR="003706E5">
        <w:t xml:space="preserve"> to:</w:t>
      </w:r>
    </w:p>
    <w:p w14:paraId="15CF663E" w14:textId="13AD89D4" w:rsidR="003706E5" w:rsidRPr="00BC4B62" w:rsidRDefault="003B25F2" w:rsidP="0019309F">
      <w:pPr>
        <w:pStyle w:val="BodyText"/>
        <w:numPr>
          <w:ilvl w:val="0"/>
          <w:numId w:val="6"/>
        </w:numPr>
        <w:jc w:val="left"/>
      </w:pPr>
      <w:r>
        <w:t>a</w:t>
      </w:r>
      <w:r w:rsidR="003706E5">
        <w:t>dvise and consult with the operator on the preparation and amendment of park rules, standards for behaviour of residents and other matters</w:t>
      </w:r>
      <w:r w:rsidR="003706E5" w:rsidRPr="00BC4B62">
        <w:t>; and</w:t>
      </w:r>
    </w:p>
    <w:p w14:paraId="509215D0" w14:textId="517FE074" w:rsidR="003706E5" w:rsidRDefault="003B25F2" w:rsidP="0019309F">
      <w:pPr>
        <w:pStyle w:val="BodyText"/>
        <w:numPr>
          <w:ilvl w:val="0"/>
          <w:numId w:val="6"/>
        </w:numPr>
        <w:jc w:val="left"/>
      </w:pPr>
      <w:r>
        <w:t>a</w:t>
      </w:r>
      <w:r w:rsidR="003706E5">
        <w:t xml:space="preserve">ssist the park operator </w:t>
      </w:r>
      <w:r w:rsidR="007D479E">
        <w:t xml:space="preserve">to </w:t>
      </w:r>
      <w:r w:rsidR="003706E5">
        <w:t>ensure park rules are observed by residents and resolve disputes between residents</w:t>
      </w:r>
      <w:r w:rsidR="007D479E">
        <w:t>,</w:t>
      </w:r>
      <w:r w:rsidR="003706E5">
        <w:t xml:space="preserve"> or residents and the park operator</w:t>
      </w:r>
      <w:r w:rsidR="002F2477">
        <w:t>.</w:t>
      </w:r>
      <w:r w:rsidR="008D1C03">
        <w:rPr>
          <w:rStyle w:val="FootnoteReference"/>
        </w:rPr>
        <w:footnoteReference w:id="45"/>
      </w:r>
    </w:p>
    <w:p w14:paraId="5E6D0F78" w14:textId="63EB4AA2" w:rsidR="00D8418A" w:rsidRDefault="00D8418A" w:rsidP="0019309F">
      <w:pPr>
        <w:pStyle w:val="BodyText"/>
        <w:jc w:val="left"/>
      </w:pPr>
      <w:r>
        <w:t xml:space="preserve">A park liaison committee is comprised of </w:t>
      </w:r>
      <w:r w:rsidR="007C0F92">
        <w:t>one or more</w:t>
      </w:r>
      <w:r>
        <w:t xml:space="preserve"> long-stay tenant</w:t>
      </w:r>
      <w:r w:rsidR="007C0F92">
        <w:t>s</w:t>
      </w:r>
      <w:r>
        <w:t xml:space="preserve"> chosen by other long-stay tenants to represent their interests, together with</w:t>
      </w:r>
      <w:r w:rsidR="007C0F92">
        <w:t xml:space="preserve"> one or more representatives of the park operator. There must be more tenant representatives than park operator representatives</w:t>
      </w:r>
      <w:r w:rsidR="007C0F92">
        <w:rPr>
          <w:rStyle w:val="FootnoteReference"/>
        </w:rPr>
        <w:footnoteReference w:id="46"/>
      </w:r>
      <w:r w:rsidR="002F2477">
        <w:t>.</w:t>
      </w:r>
      <w:r w:rsidR="00C30E41">
        <w:t xml:space="preserve"> </w:t>
      </w:r>
    </w:p>
    <w:p w14:paraId="6CA9B3A0" w14:textId="549B2202" w:rsidR="00CB44B1" w:rsidRDefault="003706E5" w:rsidP="0019309F">
      <w:pPr>
        <w:pStyle w:val="BodyText"/>
        <w:jc w:val="left"/>
      </w:pPr>
      <w:r w:rsidRPr="00806AD9">
        <w:t xml:space="preserve">A park liaison committee must be formed and maintained by a park operator if the park has 20 or more long-stay sites and the majority of long-stay tenants </w:t>
      </w:r>
      <w:r w:rsidR="00895438" w:rsidRPr="00806AD9">
        <w:t>choose</w:t>
      </w:r>
      <w:r w:rsidRPr="00806AD9">
        <w:t xml:space="preserve"> to form a park liaison committee</w:t>
      </w:r>
      <w:r w:rsidR="002F2477">
        <w:t>.</w:t>
      </w:r>
      <w:r w:rsidR="00C209D2" w:rsidRPr="00806AD9">
        <w:rPr>
          <w:rStyle w:val="FootnoteReference"/>
        </w:rPr>
        <w:footnoteReference w:id="47"/>
      </w:r>
      <w:r w:rsidRPr="00806AD9">
        <w:t xml:space="preserve"> The Act does not require</w:t>
      </w:r>
      <w:r w:rsidR="00A872C4" w:rsidRPr="00806AD9">
        <w:t>,</w:t>
      </w:r>
      <w:r w:rsidRPr="00806AD9">
        <w:t xml:space="preserve"> although does not prohibit</w:t>
      </w:r>
      <w:r w:rsidR="00A872C4" w:rsidRPr="00806AD9">
        <w:t>,</w:t>
      </w:r>
      <w:r w:rsidRPr="00806AD9">
        <w:t xml:space="preserve"> long-stay tenants and an operator in parks </w:t>
      </w:r>
      <w:r w:rsidR="00711DF6" w:rsidRPr="00806AD9">
        <w:t xml:space="preserve">with </w:t>
      </w:r>
      <w:r w:rsidRPr="00806AD9">
        <w:t xml:space="preserve">less than 20 long-stay </w:t>
      </w:r>
      <w:r w:rsidR="00711DF6" w:rsidRPr="00806AD9">
        <w:t xml:space="preserve">sites </w:t>
      </w:r>
      <w:r w:rsidRPr="00806AD9">
        <w:t>from forming a committee</w:t>
      </w:r>
      <w:r w:rsidR="00CB44B1">
        <w:t>.</w:t>
      </w:r>
    </w:p>
    <w:p w14:paraId="4D64288D" w14:textId="5967580C" w:rsidR="003706E5" w:rsidRDefault="003706E5" w:rsidP="0019309F">
      <w:pPr>
        <w:pStyle w:val="BodyText"/>
        <w:jc w:val="left"/>
      </w:pPr>
      <w:r>
        <w:t xml:space="preserve">The Regulations outline operational aspects of a park liaison committee including in-person voting at meetings, written notice of upcoming meetings by an operator and electing and removing members. </w:t>
      </w:r>
    </w:p>
    <w:p w14:paraId="1674822A" w14:textId="7DCC85CF" w:rsidR="003706E5" w:rsidRDefault="003706E5" w:rsidP="0019309F">
      <w:pPr>
        <w:pStyle w:val="BodyText"/>
        <w:jc w:val="left"/>
      </w:pPr>
      <w:r>
        <w:t xml:space="preserve">Other </w:t>
      </w:r>
      <w:r w:rsidR="007D479E">
        <w:t>s</w:t>
      </w:r>
      <w:r>
        <w:t xml:space="preserve">tates have alternate approaches to park liaison committees with </w:t>
      </w:r>
      <w:r w:rsidR="00895438">
        <w:t xml:space="preserve">neither </w:t>
      </w:r>
      <w:r w:rsidR="00C65BE7">
        <w:t>NSW</w:t>
      </w:r>
      <w:r w:rsidR="00B45357">
        <w:rPr>
          <w:rStyle w:val="FootnoteReference"/>
        </w:rPr>
        <w:footnoteReference w:id="48"/>
      </w:r>
      <w:r w:rsidR="00B45357">
        <w:t xml:space="preserve"> </w:t>
      </w:r>
      <w:r w:rsidR="00895438">
        <w:t>or</w:t>
      </w:r>
      <w:r w:rsidR="00B45357">
        <w:t xml:space="preserve"> </w:t>
      </w:r>
      <w:r w:rsidR="00C65BE7">
        <w:t>QLD</w:t>
      </w:r>
      <w:r w:rsidR="00B45357">
        <w:rPr>
          <w:rStyle w:val="FootnoteReference"/>
        </w:rPr>
        <w:footnoteReference w:id="49"/>
      </w:r>
      <w:r>
        <w:t xml:space="preserve"> </w:t>
      </w:r>
      <w:r w:rsidR="00895438">
        <w:t xml:space="preserve">having </w:t>
      </w:r>
      <w:r>
        <w:t xml:space="preserve">a </w:t>
      </w:r>
      <w:r w:rsidR="00D90100">
        <w:t xml:space="preserve">minimum </w:t>
      </w:r>
      <w:r>
        <w:t xml:space="preserve">threshold </w:t>
      </w:r>
      <w:r w:rsidR="00E67E7C">
        <w:t xml:space="preserve">of long-stay </w:t>
      </w:r>
      <w:r w:rsidR="00E36488">
        <w:t xml:space="preserve">sites to require a committee to be established </w:t>
      </w:r>
      <w:r>
        <w:t xml:space="preserve">and </w:t>
      </w:r>
      <w:r w:rsidR="00CB44B1">
        <w:t xml:space="preserve">those jurisdictions </w:t>
      </w:r>
      <w:r>
        <w:t>allowing</w:t>
      </w:r>
      <w:r w:rsidR="00E67E7C">
        <w:t xml:space="preserve"> </w:t>
      </w:r>
      <w:r w:rsidR="00E36488">
        <w:t xml:space="preserve">tenants </w:t>
      </w:r>
      <w:r>
        <w:t>to establish a committee</w:t>
      </w:r>
      <w:r w:rsidR="00E67E7C">
        <w:t xml:space="preserve"> rather than the operator</w:t>
      </w:r>
      <w:r w:rsidR="00F7366D">
        <w:t>.</w:t>
      </w:r>
      <w:r w:rsidR="00E36488">
        <w:t xml:space="preserve"> </w:t>
      </w:r>
    </w:p>
    <w:p w14:paraId="0EB2500A" w14:textId="70CE03A1" w:rsidR="003706E5" w:rsidRPr="00BC4B62" w:rsidRDefault="005709B1" w:rsidP="0019309F">
      <w:pPr>
        <w:pStyle w:val="Heading3"/>
        <w:jc w:val="left"/>
      </w:pPr>
      <w:bookmarkStart w:id="202" w:name="_Toc219884898"/>
      <w:r>
        <w:t>Feedback</w:t>
      </w:r>
      <w:bookmarkEnd w:id="202"/>
    </w:p>
    <w:p w14:paraId="0AD378E5" w14:textId="1BA9D7F0" w:rsidR="00D808B4" w:rsidRPr="00B23C32" w:rsidRDefault="00F05253" w:rsidP="0019309F">
      <w:r w:rsidRPr="00B23C32">
        <w:t>LGIRS</w:t>
      </w:r>
      <w:r w:rsidR="003C5837" w:rsidRPr="00B23C32">
        <w:t xml:space="preserve"> </w:t>
      </w:r>
      <w:r w:rsidR="00E33DCA" w:rsidRPr="00B23C32">
        <w:t xml:space="preserve">is seeking stakeholder feedback on whether </w:t>
      </w:r>
      <w:r w:rsidR="003C5837" w:rsidRPr="00B23C32">
        <w:t>p</w:t>
      </w:r>
      <w:r w:rsidR="003706E5" w:rsidRPr="00B23C32">
        <w:t xml:space="preserve">ark liaison committees </w:t>
      </w:r>
      <w:r w:rsidR="00E33DCA" w:rsidRPr="00B23C32">
        <w:t>are operating effectively.</w:t>
      </w:r>
      <w:bookmarkStart w:id="203" w:name="_Toc207635556"/>
    </w:p>
    <w:p w14:paraId="1DE3B9E1" w14:textId="77777777" w:rsidR="002A51F0" w:rsidRPr="00CB44B1" w:rsidRDefault="002A51F0" w:rsidP="0019309F">
      <w:pPr>
        <w:rPr>
          <w:sz w:val="22"/>
          <w:szCs w:val="22"/>
        </w:rPr>
      </w:pPr>
    </w:p>
    <w:tbl>
      <w:tblPr>
        <w:tblStyle w:val="TableGrid"/>
        <w:tblW w:w="0" w:type="auto"/>
        <w:tblLook w:val="04A0" w:firstRow="1" w:lastRow="0" w:firstColumn="1" w:lastColumn="0" w:noHBand="0" w:noVBand="1"/>
      </w:tblPr>
      <w:tblGrid>
        <w:gridCol w:w="9010"/>
      </w:tblGrid>
      <w:tr w:rsidR="000524C5" w14:paraId="62763BAF" w14:textId="77777777" w:rsidTr="000524C5">
        <w:tc>
          <w:tcPr>
            <w:tcW w:w="9010" w:type="dxa"/>
          </w:tcPr>
          <w:p w14:paraId="1CAD1DF3" w14:textId="2424303A" w:rsidR="000524C5" w:rsidRPr="005B6C74" w:rsidRDefault="000524C5" w:rsidP="0019309F">
            <w:pPr>
              <w:rPr>
                <w:b/>
                <w:bCs/>
                <w:color w:val="FF0000"/>
                <w:sz w:val="24"/>
              </w:rPr>
            </w:pPr>
            <w:r w:rsidRPr="003F7731">
              <w:rPr>
                <w:b/>
                <w:bCs/>
                <w:sz w:val="24"/>
                <w:szCs w:val="32"/>
              </w:rPr>
              <w:lastRenderedPageBreak/>
              <w:t>Consultation question</w:t>
            </w:r>
            <w:r w:rsidR="003F7731">
              <w:rPr>
                <w:b/>
                <w:bCs/>
                <w:sz w:val="24"/>
                <w:szCs w:val="32"/>
              </w:rPr>
              <w:t>s</w:t>
            </w:r>
          </w:p>
          <w:p w14:paraId="34F74B3D" w14:textId="2FC70A20" w:rsidR="000524C5" w:rsidRPr="009C0A3C" w:rsidRDefault="000524C5" w:rsidP="0019309F">
            <w:pPr>
              <w:pStyle w:val="ListParagraph"/>
              <w:jc w:val="left"/>
              <w:rPr>
                <w:sz w:val="24"/>
                <w:szCs w:val="32"/>
              </w:rPr>
            </w:pPr>
            <w:r w:rsidRPr="009C0A3C">
              <w:rPr>
                <w:sz w:val="24"/>
                <w:szCs w:val="32"/>
              </w:rPr>
              <w:t xml:space="preserve">Does </w:t>
            </w:r>
            <w:r w:rsidR="00B35B8E" w:rsidRPr="009C0A3C">
              <w:rPr>
                <w:sz w:val="24"/>
                <w:szCs w:val="32"/>
              </w:rPr>
              <w:t xml:space="preserve">a </w:t>
            </w:r>
            <w:r w:rsidR="000E2D35" w:rsidRPr="009C0A3C">
              <w:rPr>
                <w:sz w:val="24"/>
                <w:szCs w:val="32"/>
              </w:rPr>
              <w:t>p</w:t>
            </w:r>
            <w:r w:rsidRPr="009C0A3C">
              <w:rPr>
                <w:sz w:val="24"/>
                <w:szCs w:val="32"/>
              </w:rPr>
              <w:t xml:space="preserve">ark </w:t>
            </w:r>
            <w:r w:rsidR="000E2D35" w:rsidRPr="009C0A3C">
              <w:rPr>
                <w:sz w:val="24"/>
                <w:szCs w:val="32"/>
              </w:rPr>
              <w:t>l</w:t>
            </w:r>
            <w:r w:rsidRPr="009C0A3C">
              <w:rPr>
                <w:sz w:val="24"/>
                <w:szCs w:val="32"/>
              </w:rPr>
              <w:t xml:space="preserve">iaison </w:t>
            </w:r>
            <w:r w:rsidR="000E2D35" w:rsidRPr="009C0A3C">
              <w:rPr>
                <w:sz w:val="24"/>
                <w:szCs w:val="32"/>
              </w:rPr>
              <w:t>c</w:t>
            </w:r>
            <w:r w:rsidRPr="009C0A3C">
              <w:rPr>
                <w:sz w:val="24"/>
                <w:szCs w:val="32"/>
              </w:rPr>
              <w:t>ommittee have a role your park and</w:t>
            </w:r>
            <w:r w:rsidR="000E2D35" w:rsidRPr="009C0A3C">
              <w:rPr>
                <w:sz w:val="24"/>
                <w:szCs w:val="32"/>
              </w:rPr>
              <w:t>,</w:t>
            </w:r>
            <w:r w:rsidRPr="009C0A3C">
              <w:rPr>
                <w:sz w:val="24"/>
                <w:szCs w:val="32"/>
              </w:rPr>
              <w:t xml:space="preserve"> if yes, is it effective and why?</w:t>
            </w:r>
          </w:p>
          <w:p w14:paraId="0E0E33DC" w14:textId="3A7BFAC2" w:rsidR="000524C5" w:rsidRPr="009C0A3C" w:rsidRDefault="000524C5" w:rsidP="0019309F">
            <w:pPr>
              <w:pStyle w:val="ListParagraph"/>
              <w:jc w:val="left"/>
              <w:rPr>
                <w:sz w:val="24"/>
                <w:szCs w:val="32"/>
              </w:rPr>
            </w:pPr>
            <w:r w:rsidRPr="009C0A3C">
              <w:rPr>
                <w:sz w:val="24"/>
                <w:szCs w:val="32"/>
              </w:rPr>
              <w:t xml:space="preserve">If the </w:t>
            </w:r>
            <w:r w:rsidR="000E2D35" w:rsidRPr="009C0A3C">
              <w:rPr>
                <w:sz w:val="24"/>
                <w:szCs w:val="32"/>
              </w:rPr>
              <w:t>park liaison c</w:t>
            </w:r>
            <w:r w:rsidRPr="009C0A3C">
              <w:rPr>
                <w:sz w:val="24"/>
                <w:szCs w:val="32"/>
              </w:rPr>
              <w:t>ommittee is not operating effectively, what steps could be taken to better support its operation?</w:t>
            </w:r>
          </w:p>
          <w:p w14:paraId="3E948319" w14:textId="0B477A9B" w:rsidR="000524C5" w:rsidRPr="00D936A7" w:rsidRDefault="000E2D35" w:rsidP="0019309F">
            <w:pPr>
              <w:pStyle w:val="ListParagraph"/>
              <w:jc w:val="left"/>
            </w:pPr>
            <w:r w:rsidRPr="009C0A3C">
              <w:rPr>
                <w:sz w:val="24"/>
                <w:szCs w:val="32"/>
              </w:rPr>
              <w:t>Is the current threshold to require a park operator to convene a park liaison committee appropriate</w:t>
            </w:r>
            <w:r w:rsidR="003F7731" w:rsidRPr="009C0A3C">
              <w:rPr>
                <w:sz w:val="24"/>
                <w:szCs w:val="32"/>
              </w:rPr>
              <w:t>?</w:t>
            </w:r>
          </w:p>
        </w:tc>
      </w:tr>
    </w:tbl>
    <w:p w14:paraId="359D2AB8" w14:textId="2A366072" w:rsidR="00B75DDA" w:rsidRDefault="00B75DDA" w:rsidP="0019309F">
      <w:pPr>
        <w:pStyle w:val="Heading2"/>
        <w:jc w:val="left"/>
      </w:pPr>
      <w:bookmarkStart w:id="204" w:name="_Toc219207123"/>
      <w:bookmarkStart w:id="205" w:name="_Toc219207124"/>
      <w:bookmarkStart w:id="206" w:name="_Toc219207125"/>
      <w:bookmarkStart w:id="207" w:name="_Toc219207126"/>
      <w:bookmarkStart w:id="208" w:name="_Toc219884899"/>
      <w:bookmarkEnd w:id="204"/>
      <w:bookmarkEnd w:id="205"/>
      <w:bookmarkEnd w:id="206"/>
      <w:bookmarkEnd w:id="207"/>
      <w:r>
        <w:t xml:space="preserve">Maintenance and </w:t>
      </w:r>
      <w:r w:rsidR="00676EA6">
        <w:t>r</w:t>
      </w:r>
      <w:r>
        <w:t>epair</w:t>
      </w:r>
      <w:bookmarkEnd w:id="203"/>
      <w:bookmarkEnd w:id="208"/>
    </w:p>
    <w:p w14:paraId="697C9953" w14:textId="77777777" w:rsidR="00B75DDA" w:rsidRPr="000159BD" w:rsidRDefault="00B75DDA" w:rsidP="0019309F">
      <w:pPr>
        <w:pStyle w:val="Heading3"/>
        <w:jc w:val="left"/>
      </w:pPr>
      <w:bookmarkStart w:id="209" w:name="_Toc219884900"/>
      <w:r w:rsidRPr="000159BD">
        <w:t>Issues</w:t>
      </w:r>
      <w:bookmarkEnd w:id="209"/>
    </w:p>
    <w:p w14:paraId="6C13061A" w14:textId="1EBE89CF" w:rsidR="00B75DDA" w:rsidRDefault="00F05253" w:rsidP="0019309F">
      <w:pPr>
        <w:pStyle w:val="BodyText"/>
        <w:jc w:val="left"/>
      </w:pPr>
      <w:r>
        <w:t>LGIRS</w:t>
      </w:r>
      <w:r w:rsidR="00B75DDA">
        <w:t xml:space="preserve"> receives some complaints from long-stay tenants about maintenance </w:t>
      </w:r>
      <w:r w:rsidR="00E33DCA">
        <w:t xml:space="preserve">standards </w:t>
      </w:r>
      <w:r w:rsidR="00B75DDA">
        <w:t>in residential parks</w:t>
      </w:r>
      <w:r w:rsidR="00CF2045">
        <w:t xml:space="preserve">. This review will consider </w:t>
      </w:r>
      <w:r w:rsidR="00B75DDA">
        <w:t>if existing requirements to ensure park operators conduct repair and maintenance are satisfactory.</w:t>
      </w:r>
      <w:r w:rsidR="00600050">
        <w:t xml:space="preserve"> </w:t>
      </w:r>
    </w:p>
    <w:p w14:paraId="30DE0470" w14:textId="77777777" w:rsidR="00B75DDA" w:rsidRPr="000159BD" w:rsidRDefault="00B75DDA" w:rsidP="0019309F">
      <w:pPr>
        <w:pStyle w:val="Heading3"/>
        <w:jc w:val="left"/>
      </w:pPr>
      <w:bookmarkStart w:id="210" w:name="_Toc219884901"/>
      <w:r w:rsidRPr="000159BD">
        <w:t>Current requirements</w:t>
      </w:r>
      <w:bookmarkEnd w:id="210"/>
    </w:p>
    <w:p w14:paraId="27172DC5" w14:textId="380E1CF3" w:rsidR="004F4A09" w:rsidRDefault="004F4A09" w:rsidP="0019309F">
      <w:pPr>
        <w:pStyle w:val="BodyText"/>
        <w:jc w:val="left"/>
      </w:pPr>
      <w:r>
        <w:t>The Act imposes obligations around cleanliness, repair and maintenance of long-stay sites and homes.</w:t>
      </w:r>
      <w:r w:rsidR="00136D9A">
        <w:t xml:space="preserve"> These obligations are </w:t>
      </w:r>
      <w:r w:rsidR="004A4C2F">
        <w:t xml:space="preserve">standard </w:t>
      </w:r>
      <w:r w:rsidR="00136D9A">
        <w:t>terms of long-stay agreement</w:t>
      </w:r>
      <w:r w:rsidR="00131AF2">
        <w:t>s. B</w:t>
      </w:r>
      <w:r w:rsidR="00520336">
        <w:t>reach of the</w:t>
      </w:r>
      <w:r w:rsidR="00131AF2">
        <w:t>se</w:t>
      </w:r>
      <w:r w:rsidR="00520336">
        <w:t xml:space="preserve"> terms may </w:t>
      </w:r>
      <w:r w:rsidR="005A220D">
        <w:t xml:space="preserve">be treated as a </w:t>
      </w:r>
      <w:r w:rsidR="00520336">
        <w:t xml:space="preserve">default by </w:t>
      </w:r>
      <w:r w:rsidR="00131AF2">
        <w:t>the other</w:t>
      </w:r>
      <w:r w:rsidR="00520336">
        <w:t xml:space="preserve"> party.</w:t>
      </w:r>
    </w:p>
    <w:p w14:paraId="4CD3B528" w14:textId="77777777" w:rsidR="00BF1773" w:rsidRDefault="00BF1773" w:rsidP="0019309F">
      <w:pPr>
        <w:pStyle w:val="BodyText"/>
        <w:jc w:val="left"/>
      </w:pPr>
      <w:r>
        <w:t>Long-stay tenants must keep their site and on-site home in a reasonable state of cleanliness and if they own the home, keep it in a reasonable state of repair to live in.</w:t>
      </w:r>
      <w:r>
        <w:rPr>
          <w:rStyle w:val="FootnoteReference"/>
        </w:rPr>
        <w:footnoteReference w:id="50"/>
      </w:r>
      <w:r>
        <w:t xml:space="preserve"> </w:t>
      </w:r>
    </w:p>
    <w:p w14:paraId="0B4F4288" w14:textId="77777777" w:rsidR="00A52AFA" w:rsidRDefault="00136D9A" w:rsidP="0019309F">
      <w:pPr>
        <w:pStyle w:val="BodyText"/>
        <w:jc w:val="left"/>
      </w:pPr>
      <w:r>
        <w:t>Park</w:t>
      </w:r>
      <w:r w:rsidR="00C82308">
        <w:t xml:space="preserve"> operators </w:t>
      </w:r>
      <w:r>
        <w:t>must</w:t>
      </w:r>
      <w:r w:rsidR="00A52AFA">
        <w:t>:</w:t>
      </w:r>
    </w:p>
    <w:p w14:paraId="6AB2D69C" w14:textId="42F58DC2" w:rsidR="00A52AFA" w:rsidRDefault="00A52AFA" w:rsidP="0019309F">
      <w:pPr>
        <w:pStyle w:val="BodyText"/>
        <w:numPr>
          <w:ilvl w:val="0"/>
          <w:numId w:val="6"/>
        </w:numPr>
        <w:jc w:val="left"/>
      </w:pPr>
      <w:r>
        <w:t xml:space="preserve">provide and maintain the agreed premises </w:t>
      </w:r>
      <w:r w:rsidR="00B35B8E">
        <w:t xml:space="preserve">(including on-site homes owned by the operator) </w:t>
      </w:r>
      <w:r>
        <w:t>and shared premises in a reasonable state of cleanliness and repair;</w:t>
      </w:r>
      <w:r w:rsidR="00BF1773">
        <w:t xml:space="preserve"> and</w:t>
      </w:r>
    </w:p>
    <w:p w14:paraId="3C389B98" w14:textId="51515D6A" w:rsidR="004A4C2F" w:rsidRDefault="00BF1773" w:rsidP="0019309F">
      <w:pPr>
        <w:pStyle w:val="BodyText"/>
        <w:numPr>
          <w:ilvl w:val="0"/>
          <w:numId w:val="6"/>
        </w:numPr>
        <w:jc w:val="left"/>
      </w:pPr>
      <w:r>
        <w:t xml:space="preserve">undertake </w:t>
      </w:r>
      <w:r w:rsidR="00C82308">
        <w:t xml:space="preserve">repairs and maintenance </w:t>
      </w:r>
      <w:r w:rsidR="0009125B">
        <w:t xml:space="preserve">to common areas </w:t>
      </w:r>
      <w:r w:rsidR="00C82308">
        <w:t xml:space="preserve">as soon as practicable in a manner that minimises disruption to </w:t>
      </w:r>
      <w:r>
        <w:t>tenants</w:t>
      </w:r>
      <w:r w:rsidR="00C82308">
        <w:t>.</w:t>
      </w:r>
      <w:r w:rsidR="00C82308">
        <w:rPr>
          <w:rStyle w:val="FootnoteReference"/>
        </w:rPr>
        <w:footnoteReference w:id="51"/>
      </w:r>
      <w:r w:rsidR="00131AF2">
        <w:t xml:space="preserve"> </w:t>
      </w:r>
    </w:p>
    <w:p w14:paraId="721E67B7" w14:textId="1155D375" w:rsidR="00695E53" w:rsidRDefault="004D7390" w:rsidP="0019309F">
      <w:pPr>
        <w:pStyle w:val="BodyText"/>
        <w:jc w:val="left"/>
      </w:pPr>
      <w:r>
        <w:lastRenderedPageBreak/>
        <w:t>For urgent repairs to an essential service</w:t>
      </w:r>
      <w:r w:rsidR="00A52AFA">
        <w:rPr>
          <w:rStyle w:val="FootnoteReference"/>
        </w:rPr>
        <w:footnoteReference w:id="52"/>
      </w:r>
      <w:r>
        <w:t xml:space="preserve"> or to otherwise avoid risk or injury or damage to property, the </w:t>
      </w:r>
      <w:r w:rsidR="00524C47">
        <w:t>operator must ensure the repairs are carried out as soon as practicable after notification</w:t>
      </w:r>
      <w:r w:rsidR="00A52AFA">
        <w:t xml:space="preserve"> </w:t>
      </w:r>
      <w:r w:rsidR="002A32DC">
        <w:t xml:space="preserve">of the need for repairs </w:t>
      </w:r>
      <w:r w:rsidR="00A52AFA">
        <w:t>by the long-stay tenant</w:t>
      </w:r>
      <w:r w:rsidR="00524C47">
        <w:t>.</w:t>
      </w:r>
      <w:r>
        <w:t xml:space="preserve"> </w:t>
      </w:r>
      <w:r w:rsidR="00524C47">
        <w:t xml:space="preserve">If the tenant is unable to contact the operator within 24 hours for an essential service or 48 hours for </w:t>
      </w:r>
      <w:r w:rsidR="0015774F">
        <w:t xml:space="preserve">any </w:t>
      </w:r>
      <w:r w:rsidR="00524C47">
        <w:t xml:space="preserve">other urgent repair, </w:t>
      </w:r>
      <w:r w:rsidR="00A52AFA">
        <w:t xml:space="preserve">or if the operator fails to ensure the repairs are carried out after being contacted by the tenant, </w:t>
      </w:r>
      <w:r w:rsidR="00524C47">
        <w:t>the tenant may arrange for the repair and the operator must reimburse the tenant.</w:t>
      </w:r>
      <w:r w:rsidR="00524C47">
        <w:rPr>
          <w:rStyle w:val="FootnoteReference"/>
        </w:rPr>
        <w:footnoteReference w:id="53"/>
      </w:r>
      <w:r w:rsidR="00980462">
        <w:t xml:space="preserve"> The park operator does not have an explicit period to conduct non-urgent repairs, rather, they must be carried out as soon as reasonably practicable</w:t>
      </w:r>
      <w:r w:rsidR="002F2477">
        <w:t>.</w:t>
      </w:r>
      <w:r w:rsidR="00980462">
        <w:rPr>
          <w:rStyle w:val="FootnoteReference"/>
        </w:rPr>
        <w:footnoteReference w:id="54"/>
      </w:r>
    </w:p>
    <w:p w14:paraId="481B2D9E" w14:textId="1C25732D" w:rsidR="007E3E20" w:rsidRDefault="00136D9A" w:rsidP="0019309F">
      <w:pPr>
        <w:pStyle w:val="BodyText"/>
        <w:jc w:val="left"/>
      </w:pPr>
      <w:r>
        <w:t xml:space="preserve">A </w:t>
      </w:r>
      <w:r w:rsidR="00B75DDA">
        <w:t>function of a park liaison committee is to advise and consult with the park operator about the development of policies for the improvement and maintenance of the natural environment and amenities of the residential park</w:t>
      </w:r>
      <w:r w:rsidR="00B75DDA">
        <w:rPr>
          <w:rStyle w:val="FootnoteReference"/>
        </w:rPr>
        <w:footnoteReference w:id="55"/>
      </w:r>
      <w:r w:rsidR="00B75DDA">
        <w:t xml:space="preserve">, such as communal showers and toilets. </w:t>
      </w:r>
    </w:p>
    <w:p w14:paraId="35DC589F" w14:textId="176862C0" w:rsidR="00BB3DBD" w:rsidRDefault="00BB3DBD" w:rsidP="0019309F">
      <w:pPr>
        <w:pStyle w:val="BodyText"/>
        <w:jc w:val="left"/>
      </w:pPr>
      <w:r>
        <w:t xml:space="preserve">Like </w:t>
      </w:r>
      <w:r w:rsidR="004F73C0">
        <w:t>WA</w:t>
      </w:r>
      <w:r>
        <w:t xml:space="preserve">, </w:t>
      </w:r>
      <w:r w:rsidR="00C65BE7">
        <w:t>QLD</w:t>
      </w:r>
      <w:r>
        <w:rPr>
          <w:rStyle w:val="FootnoteReference"/>
        </w:rPr>
        <w:footnoteReference w:id="56"/>
      </w:r>
      <w:r>
        <w:t xml:space="preserve">, </w:t>
      </w:r>
      <w:r w:rsidR="00614E05">
        <w:t>SA</w:t>
      </w:r>
      <w:r>
        <w:rPr>
          <w:rStyle w:val="FootnoteReference"/>
        </w:rPr>
        <w:footnoteReference w:id="57"/>
      </w:r>
      <w:r>
        <w:t xml:space="preserve"> and </w:t>
      </w:r>
      <w:r w:rsidR="00C65BE7">
        <w:t>NSW</w:t>
      </w:r>
      <w:r>
        <w:rPr>
          <w:rStyle w:val="FootnoteReference"/>
        </w:rPr>
        <w:footnoteReference w:id="58"/>
      </w:r>
      <w:r>
        <w:t xml:space="preserve"> </w:t>
      </w:r>
      <w:r w:rsidR="00DF4FEE">
        <w:t xml:space="preserve">impose a general obligation on operators to ensure common areas are clean and repaired but </w:t>
      </w:r>
      <w:r>
        <w:t xml:space="preserve">do not mandate specific </w:t>
      </w:r>
      <w:r w:rsidR="00A52AFA">
        <w:t xml:space="preserve">timeframes </w:t>
      </w:r>
      <w:r w:rsidR="00131AF2">
        <w:t>for operators to</w:t>
      </w:r>
      <w:r>
        <w:t xml:space="preserve"> repair common areas or </w:t>
      </w:r>
      <w:r w:rsidR="00131AF2">
        <w:t>on-site homes</w:t>
      </w:r>
      <w:r w:rsidR="00DF4FEE">
        <w:t>.</w:t>
      </w:r>
      <w:r>
        <w:t xml:space="preserve"> </w:t>
      </w:r>
      <w:r w:rsidR="00765F50">
        <w:t xml:space="preserve">A Discussion Paper on the </w:t>
      </w:r>
      <w:r w:rsidR="00E13CAE" w:rsidRPr="00B23C32">
        <w:t>RTA</w:t>
      </w:r>
      <w:r w:rsidR="00765F50">
        <w:t xml:space="preserve">  </w:t>
      </w:r>
      <w:r w:rsidR="00980462">
        <w:t>queried if the timeliness that a landlord should make repairs should be improved</w:t>
      </w:r>
      <w:r w:rsidR="008B2FA0">
        <w:t>.</w:t>
      </w:r>
      <w:r w:rsidR="00980462">
        <w:rPr>
          <w:rStyle w:val="FootnoteReference"/>
        </w:rPr>
        <w:footnoteReference w:id="59"/>
      </w:r>
      <w:r w:rsidR="000B7F79">
        <w:t xml:space="preserve"> </w:t>
      </w:r>
    </w:p>
    <w:p w14:paraId="75BF5B50" w14:textId="4637BF11" w:rsidR="00B75DDA" w:rsidRPr="008E7FA8" w:rsidRDefault="005709B1" w:rsidP="0019309F">
      <w:pPr>
        <w:pStyle w:val="Heading3"/>
        <w:jc w:val="left"/>
      </w:pPr>
      <w:bookmarkStart w:id="211" w:name="_Toc219884902"/>
      <w:r>
        <w:t>Feedback</w:t>
      </w:r>
      <w:bookmarkEnd w:id="211"/>
    </w:p>
    <w:p w14:paraId="491EFFAD" w14:textId="17097854" w:rsidR="00B75DDA" w:rsidRDefault="00F05253" w:rsidP="0019309F">
      <w:pPr>
        <w:pStyle w:val="BodyText"/>
        <w:jc w:val="left"/>
      </w:pPr>
      <w:r>
        <w:t>LGIRS</w:t>
      </w:r>
      <w:r w:rsidR="00B75DDA">
        <w:t xml:space="preserve"> </w:t>
      </w:r>
      <w:r w:rsidR="00A24C68">
        <w:t xml:space="preserve">seeks feedback </w:t>
      </w:r>
      <w:r w:rsidR="00CF2045">
        <w:t>on</w:t>
      </w:r>
      <w:r w:rsidR="00A24C68">
        <w:t xml:space="preserve"> </w:t>
      </w:r>
      <w:r w:rsidR="00CF2045">
        <w:t xml:space="preserve">the current requirements of the Act in relation to </w:t>
      </w:r>
      <w:r w:rsidR="00B75DDA">
        <w:t xml:space="preserve">maintenance and repair for communal facilities and amenities, and on-site homes </w:t>
      </w:r>
      <w:r w:rsidR="00BF1E0A">
        <w:t>provided by</w:t>
      </w:r>
      <w:r w:rsidR="00B75DDA">
        <w:t xml:space="preserve"> park operators</w:t>
      </w:r>
      <w:r w:rsidR="00CF2045">
        <w:t>.</w:t>
      </w:r>
    </w:p>
    <w:tbl>
      <w:tblPr>
        <w:tblStyle w:val="TableGrid"/>
        <w:tblW w:w="0" w:type="auto"/>
        <w:tblLook w:val="04A0" w:firstRow="1" w:lastRow="0" w:firstColumn="1" w:lastColumn="0" w:noHBand="0" w:noVBand="1"/>
      </w:tblPr>
      <w:tblGrid>
        <w:gridCol w:w="9010"/>
      </w:tblGrid>
      <w:tr w:rsidR="000524C5" w14:paraId="013AA252" w14:textId="77777777" w:rsidTr="005B6C74">
        <w:trPr>
          <w:cantSplit/>
        </w:trPr>
        <w:tc>
          <w:tcPr>
            <w:tcW w:w="9010" w:type="dxa"/>
          </w:tcPr>
          <w:p w14:paraId="4BC71848" w14:textId="73B366E3" w:rsidR="000524C5" w:rsidRPr="005B6C74" w:rsidRDefault="000524C5" w:rsidP="0019309F">
            <w:pPr>
              <w:pStyle w:val="BodyText"/>
              <w:jc w:val="left"/>
              <w:rPr>
                <w:sz w:val="24"/>
              </w:rPr>
            </w:pPr>
            <w:r w:rsidRPr="003F7731">
              <w:rPr>
                <w:b/>
                <w:bCs/>
                <w:sz w:val="24"/>
                <w:szCs w:val="28"/>
              </w:rPr>
              <w:t>Consultation questio</w:t>
            </w:r>
            <w:r w:rsidR="00B37BF1" w:rsidRPr="003F7731">
              <w:rPr>
                <w:b/>
                <w:bCs/>
                <w:sz w:val="24"/>
                <w:szCs w:val="28"/>
              </w:rPr>
              <w:t>n</w:t>
            </w:r>
            <w:r w:rsidR="003F7731">
              <w:rPr>
                <w:b/>
                <w:bCs/>
                <w:sz w:val="24"/>
                <w:szCs w:val="28"/>
              </w:rPr>
              <w:t>s</w:t>
            </w:r>
          </w:p>
          <w:p w14:paraId="086FED75" w14:textId="48524906" w:rsidR="00BB7934" w:rsidRPr="009C0A3C" w:rsidRDefault="000524C5" w:rsidP="0019309F">
            <w:pPr>
              <w:pStyle w:val="ListParagraph"/>
              <w:jc w:val="left"/>
              <w:rPr>
                <w:sz w:val="24"/>
                <w:szCs w:val="32"/>
              </w:rPr>
            </w:pPr>
            <w:r w:rsidRPr="009C0A3C">
              <w:rPr>
                <w:sz w:val="24"/>
                <w:szCs w:val="32"/>
              </w:rPr>
              <w:t>Does the Act sufficiently provide for maintenance and repair obligations?</w:t>
            </w:r>
          </w:p>
          <w:p w14:paraId="0160FF9C" w14:textId="56448699" w:rsidR="000524C5" w:rsidRPr="00D936A7" w:rsidRDefault="00BB7934" w:rsidP="0019309F">
            <w:pPr>
              <w:pStyle w:val="ListParagraph"/>
              <w:jc w:val="left"/>
            </w:pPr>
            <w:r w:rsidRPr="009C0A3C">
              <w:rPr>
                <w:sz w:val="24"/>
                <w:szCs w:val="32"/>
              </w:rPr>
              <w:t xml:space="preserve">Should </w:t>
            </w:r>
            <w:r w:rsidR="00980462" w:rsidRPr="009C0A3C">
              <w:rPr>
                <w:sz w:val="24"/>
                <w:szCs w:val="32"/>
              </w:rPr>
              <w:t xml:space="preserve">the Act </w:t>
            </w:r>
            <w:r w:rsidR="002A32DC" w:rsidRPr="009C0A3C">
              <w:rPr>
                <w:sz w:val="24"/>
                <w:szCs w:val="32"/>
              </w:rPr>
              <w:t xml:space="preserve">provide </w:t>
            </w:r>
            <w:r w:rsidR="00765F50" w:rsidRPr="009C0A3C">
              <w:rPr>
                <w:sz w:val="24"/>
                <w:szCs w:val="32"/>
              </w:rPr>
              <w:t xml:space="preserve">mandatory timeframes for repairs </w:t>
            </w:r>
            <w:r w:rsidR="00980462" w:rsidRPr="009C0A3C">
              <w:rPr>
                <w:sz w:val="24"/>
                <w:szCs w:val="32"/>
              </w:rPr>
              <w:t>to be performed by park</w:t>
            </w:r>
            <w:r w:rsidR="00765F50" w:rsidRPr="009C0A3C">
              <w:rPr>
                <w:sz w:val="24"/>
                <w:szCs w:val="32"/>
              </w:rPr>
              <w:t xml:space="preserve"> operators</w:t>
            </w:r>
            <w:r w:rsidR="003F7731" w:rsidRPr="009C0A3C">
              <w:rPr>
                <w:sz w:val="24"/>
                <w:szCs w:val="32"/>
              </w:rPr>
              <w:t>?</w:t>
            </w:r>
          </w:p>
        </w:tc>
      </w:tr>
    </w:tbl>
    <w:p w14:paraId="10CE0E67" w14:textId="1AA12583" w:rsidR="0041602B" w:rsidRDefault="0041602B" w:rsidP="0019309F">
      <w:pPr>
        <w:pStyle w:val="Heading2"/>
        <w:jc w:val="left"/>
      </w:pPr>
      <w:bookmarkStart w:id="212" w:name="_Toc219207131"/>
      <w:bookmarkStart w:id="213" w:name="_Toc207110653"/>
      <w:bookmarkStart w:id="214" w:name="_Toc219884903"/>
      <w:bookmarkEnd w:id="212"/>
      <w:r>
        <w:t xml:space="preserve">Dispute </w:t>
      </w:r>
      <w:r w:rsidR="002837E6">
        <w:t>r</w:t>
      </w:r>
      <w:r>
        <w:t>esolution</w:t>
      </w:r>
      <w:bookmarkEnd w:id="213"/>
      <w:bookmarkEnd w:id="214"/>
    </w:p>
    <w:p w14:paraId="4C0B5152" w14:textId="16874868" w:rsidR="0041602B" w:rsidRDefault="0041602B" w:rsidP="0019309F">
      <w:pPr>
        <w:pStyle w:val="BodyText"/>
        <w:jc w:val="left"/>
      </w:pPr>
      <w:r>
        <w:t xml:space="preserve">Disputes may arise between long-stay tenants or between long-stay tenants and park operators over </w:t>
      </w:r>
      <w:r w:rsidR="00100920">
        <w:t xml:space="preserve">a </w:t>
      </w:r>
      <w:r>
        <w:t>range of matters such as park rules, rent</w:t>
      </w:r>
      <w:r w:rsidR="00D64DF8">
        <w:t xml:space="preserve"> and other costs</w:t>
      </w:r>
      <w:r>
        <w:t>, noise, repairs and termination</w:t>
      </w:r>
      <w:r w:rsidR="00D64DF8">
        <w:t xml:space="preserve"> of tenancy</w:t>
      </w:r>
      <w:r>
        <w:t xml:space="preserve">. </w:t>
      </w:r>
    </w:p>
    <w:p w14:paraId="693B90B3" w14:textId="77777777" w:rsidR="0041602B" w:rsidRDefault="0041602B" w:rsidP="0019309F">
      <w:pPr>
        <w:pStyle w:val="BodyText"/>
        <w:jc w:val="left"/>
      </w:pPr>
      <w:r>
        <w:lastRenderedPageBreak/>
        <w:t xml:space="preserve">Below is a summary of </w:t>
      </w:r>
      <w:r w:rsidRPr="00B23C32">
        <w:t xml:space="preserve">the </w:t>
      </w:r>
      <w:r w:rsidRPr="00F47F96">
        <w:t>steps</w:t>
      </w:r>
      <w:r>
        <w:t xml:space="preserve"> a tenant or park operator can take to resolve a dispute:</w:t>
      </w:r>
    </w:p>
    <w:p w14:paraId="2D2B2208" w14:textId="08B86A12" w:rsidR="0041602B" w:rsidRDefault="0041602B" w:rsidP="0019309F">
      <w:pPr>
        <w:pStyle w:val="BodyText"/>
        <w:numPr>
          <w:ilvl w:val="0"/>
          <w:numId w:val="7"/>
        </w:numPr>
        <w:jc w:val="left"/>
      </w:pPr>
      <w:r>
        <w:t>Discussion between park operator and tenant</w:t>
      </w:r>
      <w:r w:rsidR="002837E6">
        <w:t>,</w:t>
      </w:r>
      <w:r>
        <w:t xml:space="preserve"> or between tenants</w:t>
      </w:r>
      <w:r w:rsidR="00BF1E0A">
        <w:t>.</w:t>
      </w:r>
      <w:r>
        <w:t xml:space="preserve"> </w:t>
      </w:r>
    </w:p>
    <w:p w14:paraId="6AC5622C" w14:textId="3E934DAA" w:rsidR="0041602B" w:rsidRDefault="00117A33" w:rsidP="0019309F">
      <w:pPr>
        <w:pStyle w:val="BodyText"/>
        <w:numPr>
          <w:ilvl w:val="0"/>
          <w:numId w:val="7"/>
        </w:numPr>
        <w:jc w:val="left"/>
      </w:pPr>
      <w:r>
        <w:t>C</w:t>
      </w:r>
      <w:r w:rsidR="00AD7914">
        <w:t>ontact</w:t>
      </w:r>
      <w:r>
        <w:t xml:space="preserve"> </w:t>
      </w:r>
      <w:r w:rsidR="00976D98">
        <w:t>p</w:t>
      </w:r>
      <w:r w:rsidR="0041602B">
        <w:t xml:space="preserve">ark </w:t>
      </w:r>
      <w:r w:rsidR="00765F50">
        <w:t>l</w:t>
      </w:r>
      <w:r w:rsidR="0041602B">
        <w:t xml:space="preserve">iaison </w:t>
      </w:r>
      <w:r w:rsidR="00765F50">
        <w:t>c</w:t>
      </w:r>
      <w:r w:rsidR="0041602B">
        <w:t>ommittee (informally assist parties to come to an agreement).</w:t>
      </w:r>
    </w:p>
    <w:p w14:paraId="315426F3" w14:textId="64F13A3C" w:rsidR="0041602B" w:rsidRDefault="00976D98" w:rsidP="0019309F">
      <w:pPr>
        <w:pStyle w:val="BodyText"/>
        <w:numPr>
          <w:ilvl w:val="0"/>
          <w:numId w:val="7"/>
        </w:numPr>
        <w:jc w:val="left"/>
      </w:pPr>
      <w:r>
        <w:t>Contact</w:t>
      </w:r>
      <w:r w:rsidR="00117A33">
        <w:t xml:space="preserve"> </w:t>
      </w:r>
      <w:r>
        <w:t>Consumer Protection</w:t>
      </w:r>
      <w:r w:rsidDel="00976D98">
        <w:t xml:space="preserve"> </w:t>
      </w:r>
      <w:r w:rsidR="0041602B">
        <w:t>(conciliate dispute or investigate complaint against operator).</w:t>
      </w:r>
    </w:p>
    <w:p w14:paraId="04670096" w14:textId="509E915B" w:rsidR="0041602B" w:rsidRDefault="00976D98" w:rsidP="0019309F">
      <w:pPr>
        <w:pStyle w:val="BodyText"/>
        <w:numPr>
          <w:ilvl w:val="0"/>
          <w:numId w:val="7"/>
        </w:numPr>
        <w:jc w:val="left"/>
      </w:pPr>
      <w:r>
        <w:t>Contact</w:t>
      </w:r>
      <w:r w:rsidR="00117A33">
        <w:t xml:space="preserve"> </w:t>
      </w:r>
      <w:r w:rsidR="00D970E3">
        <w:t>SA</w:t>
      </w:r>
      <w:r w:rsidR="00275B20">
        <w:t>T</w:t>
      </w:r>
      <w:r w:rsidR="0041602B">
        <w:t xml:space="preserve"> (</w:t>
      </w:r>
      <w:r w:rsidR="006F7941">
        <w:t xml:space="preserve">can </w:t>
      </w:r>
      <w:r w:rsidR="0041602B">
        <w:t>make orders</w:t>
      </w:r>
      <w:r w:rsidR="006F7941">
        <w:t xml:space="preserve"> on matters including termination or compensation</w:t>
      </w:r>
      <w:r w:rsidR="0041602B">
        <w:t>).</w:t>
      </w:r>
    </w:p>
    <w:p w14:paraId="7E8E38D4" w14:textId="77777777" w:rsidR="0041602B" w:rsidRPr="007A4E3E" w:rsidRDefault="0041602B" w:rsidP="0019309F">
      <w:pPr>
        <w:pStyle w:val="Heading3"/>
        <w:jc w:val="left"/>
      </w:pPr>
      <w:bookmarkStart w:id="215" w:name="_Toc214547353"/>
      <w:bookmarkStart w:id="216" w:name="_Toc215579550"/>
      <w:bookmarkStart w:id="217" w:name="_Toc215579636"/>
      <w:bookmarkStart w:id="218" w:name="_Toc215579721"/>
      <w:bookmarkStart w:id="219" w:name="_Toc219884904"/>
      <w:bookmarkEnd w:id="215"/>
      <w:bookmarkEnd w:id="216"/>
      <w:bookmarkEnd w:id="217"/>
      <w:bookmarkEnd w:id="218"/>
      <w:r w:rsidRPr="007A4E3E">
        <w:t>Issues</w:t>
      </w:r>
      <w:bookmarkEnd w:id="219"/>
    </w:p>
    <w:p w14:paraId="3A6408E9" w14:textId="6ED18D94" w:rsidR="0058397D" w:rsidRDefault="0041602B" w:rsidP="0019309F">
      <w:pPr>
        <w:pStyle w:val="BodyText"/>
        <w:jc w:val="left"/>
      </w:pPr>
      <w:r>
        <w:t>Early consultation with industry advocates has indicated that there may be some issues with</w:t>
      </w:r>
      <w:r w:rsidR="002879E8">
        <w:t xml:space="preserve"> </w:t>
      </w:r>
      <w:r w:rsidR="00E83AD1">
        <w:t xml:space="preserve">awareness, </w:t>
      </w:r>
      <w:r w:rsidR="002879E8">
        <w:t>engagement</w:t>
      </w:r>
      <w:r w:rsidR="008313BD">
        <w:t xml:space="preserve"> and access to </w:t>
      </w:r>
      <w:r>
        <w:t xml:space="preserve">existing dispute resolution mechanisms. </w:t>
      </w:r>
      <w:r w:rsidR="002879E8">
        <w:t xml:space="preserve">For example, </w:t>
      </w:r>
      <w:r w:rsidR="00EB70D0">
        <w:t>some</w:t>
      </w:r>
      <w:r>
        <w:t xml:space="preserve"> parks may not have a park liaison committee</w:t>
      </w:r>
      <w:r w:rsidR="002879E8">
        <w:t xml:space="preserve"> </w:t>
      </w:r>
      <w:r w:rsidR="00E83AD1">
        <w:t xml:space="preserve">to </w:t>
      </w:r>
      <w:r w:rsidR="00EB5281">
        <w:t xml:space="preserve">assist </w:t>
      </w:r>
      <w:r w:rsidR="00CF711E">
        <w:t xml:space="preserve">in </w:t>
      </w:r>
      <w:r w:rsidR="00EB5281">
        <w:t>resolv</w:t>
      </w:r>
      <w:r w:rsidR="00CF711E">
        <w:t>ing</w:t>
      </w:r>
      <w:r w:rsidR="00EB5281">
        <w:t xml:space="preserve"> disputes</w:t>
      </w:r>
      <w:r w:rsidR="000A2AE6">
        <w:t>. L</w:t>
      </w:r>
      <w:r w:rsidR="00511E77">
        <w:t>ong-stay te</w:t>
      </w:r>
      <w:r w:rsidR="004D13C1">
        <w:t>nants</w:t>
      </w:r>
      <w:r w:rsidR="000A2AE6">
        <w:t xml:space="preserve"> in regional locations </w:t>
      </w:r>
      <w:r w:rsidR="004D13C1">
        <w:t xml:space="preserve">may </w:t>
      </w:r>
      <w:r w:rsidR="00C516B7">
        <w:t xml:space="preserve">experience </w:t>
      </w:r>
      <w:r w:rsidR="002D4FA2">
        <w:t>difficulty</w:t>
      </w:r>
      <w:r w:rsidR="00C516B7">
        <w:t xml:space="preserve"> </w:t>
      </w:r>
      <w:r w:rsidR="00B9258C">
        <w:t xml:space="preserve">in </w:t>
      </w:r>
      <w:r w:rsidR="00C516B7">
        <w:t xml:space="preserve">accessing the </w:t>
      </w:r>
      <w:r>
        <w:t>SAT</w:t>
      </w:r>
      <w:r w:rsidR="000A2AE6">
        <w:t>.</w:t>
      </w:r>
    </w:p>
    <w:p w14:paraId="3951B5AA" w14:textId="7265CE9A" w:rsidR="00B31679" w:rsidRDefault="00226BBF" w:rsidP="0019309F">
      <w:pPr>
        <w:pStyle w:val="BodyText"/>
        <w:jc w:val="left"/>
      </w:pPr>
      <w:r>
        <w:t xml:space="preserve">However, </w:t>
      </w:r>
      <w:r w:rsidR="005A220D">
        <w:t xml:space="preserve">it has been suggested that </w:t>
      </w:r>
      <w:r>
        <w:t xml:space="preserve">SAT is a relatively </w:t>
      </w:r>
      <w:r w:rsidR="0058397D">
        <w:t>low-cost</w:t>
      </w:r>
      <w:r>
        <w:t xml:space="preserve"> option with </w:t>
      </w:r>
      <w:r w:rsidR="000A2AE6">
        <w:t xml:space="preserve">a </w:t>
      </w:r>
      <w:r>
        <w:t xml:space="preserve">discount for </w:t>
      </w:r>
      <w:r w:rsidR="00043292">
        <w:t>holder</w:t>
      </w:r>
      <w:r w:rsidR="000A2AE6">
        <w:t>s</w:t>
      </w:r>
      <w:r w:rsidR="00043292">
        <w:t xml:space="preserve"> of </w:t>
      </w:r>
      <w:r w:rsidR="000A2AE6">
        <w:t xml:space="preserve">a </w:t>
      </w:r>
      <w:r>
        <w:t>Commonwealth Seniors Health Card</w:t>
      </w:r>
      <w:r w:rsidR="00043292">
        <w:t xml:space="preserve"> </w:t>
      </w:r>
      <w:r w:rsidR="000A2AE6">
        <w:t xml:space="preserve">or </w:t>
      </w:r>
      <w:r w:rsidR="00043292">
        <w:t>other concession cards.</w:t>
      </w:r>
    </w:p>
    <w:p w14:paraId="44822EB7" w14:textId="31558811" w:rsidR="0041602B" w:rsidRPr="007A4E3E" w:rsidRDefault="0041602B" w:rsidP="0019309F">
      <w:pPr>
        <w:pStyle w:val="Heading3"/>
        <w:jc w:val="left"/>
      </w:pPr>
      <w:bookmarkStart w:id="220" w:name="_Toc219884905"/>
      <w:r w:rsidRPr="007A4E3E">
        <w:t>Current requirements</w:t>
      </w:r>
      <w:bookmarkEnd w:id="220"/>
    </w:p>
    <w:p w14:paraId="5843B862" w14:textId="4C8F5F3C" w:rsidR="0058397D" w:rsidRDefault="001960B8" w:rsidP="0019309F">
      <w:pPr>
        <w:pStyle w:val="BodyText"/>
        <w:jc w:val="left"/>
      </w:pPr>
      <w:r>
        <w:t>Most disputes between long-stay tenants and park operators</w:t>
      </w:r>
      <w:r w:rsidR="002837E6">
        <w:t>,</w:t>
      </w:r>
      <w:r>
        <w:t xml:space="preserve"> or between long-stay tenants </w:t>
      </w:r>
      <w:r w:rsidR="00CF711E">
        <w:t xml:space="preserve">can </w:t>
      </w:r>
      <w:r w:rsidR="00655274">
        <w:t xml:space="preserve">be </w:t>
      </w:r>
      <w:r>
        <w:t>resolved informally by the parties.</w:t>
      </w:r>
    </w:p>
    <w:p w14:paraId="51470490" w14:textId="22061427" w:rsidR="0041602B" w:rsidRPr="006F782A" w:rsidRDefault="0041602B" w:rsidP="0019309F">
      <w:pPr>
        <w:pStyle w:val="BodyText"/>
        <w:jc w:val="left"/>
        <w:rPr>
          <w:i/>
          <w:iCs/>
        </w:rPr>
      </w:pPr>
      <w:r>
        <w:t xml:space="preserve">If </w:t>
      </w:r>
      <w:r w:rsidR="001960B8">
        <w:t xml:space="preserve">the dispute remains unresolved and </w:t>
      </w:r>
      <w:r>
        <w:t xml:space="preserve">a residential park has a park liaison committee, the committee may </w:t>
      </w:r>
      <w:r w:rsidR="00655274">
        <w:t>assist with resolution.</w:t>
      </w:r>
      <w:r>
        <w:t xml:space="preserve"> However, the committee only plays an intermediary role and does not have any decision-making authority</w:t>
      </w:r>
      <w:r w:rsidR="00043292">
        <w:t>.</w:t>
      </w:r>
    </w:p>
    <w:p w14:paraId="2C86D93D" w14:textId="783151FC" w:rsidR="0041602B" w:rsidRDefault="00F05253" w:rsidP="0019309F">
      <w:pPr>
        <w:pStyle w:val="BodyText"/>
        <w:jc w:val="left"/>
      </w:pPr>
      <w:r>
        <w:t>LGIRS</w:t>
      </w:r>
      <w:r w:rsidR="0041602B">
        <w:t xml:space="preserve"> provides a general advice service for both park operators and tenants and a conciliation service. This service is free</w:t>
      </w:r>
      <w:r w:rsidR="006C3B45">
        <w:t xml:space="preserve"> and </w:t>
      </w:r>
      <w:r w:rsidR="008D6A6D">
        <w:t xml:space="preserve">is used to address a large share of </w:t>
      </w:r>
      <w:r w:rsidR="004F79AB">
        <w:t>park disputes</w:t>
      </w:r>
      <w:r w:rsidR="00655274">
        <w:t xml:space="preserve"> that have not been dealt with informally</w:t>
      </w:r>
      <w:r w:rsidR="002837E6">
        <w:t>.</w:t>
      </w:r>
      <w:r w:rsidR="00337B89">
        <w:rPr>
          <w:rStyle w:val="FootnoteReference"/>
        </w:rPr>
        <w:footnoteReference w:id="60"/>
      </w:r>
      <w:r w:rsidR="007310C0">
        <w:t xml:space="preserve"> LGIRS and the Commissioner </w:t>
      </w:r>
      <w:r w:rsidR="00DE6F5C">
        <w:t>for Consumer Protection (</w:t>
      </w:r>
      <w:r w:rsidR="002837E6">
        <w:t xml:space="preserve">the </w:t>
      </w:r>
      <w:r w:rsidR="00DE6F5C">
        <w:t xml:space="preserve">Commissioner) </w:t>
      </w:r>
      <w:r w:rsidR="007310C0">
        <w:t xml:space="preserve">do not have the power to make a determination about a dispute under the Act. </w:t>
      </w:r>
    </w:p>
    <w:p w14:paraId="4729D63C" w14:textId="003A1BB3" w:rsidR="0041602B" w:rsidRDefault="0041602B" w:rsidP="0019309F">
      <w:pPr>
        <w:pStyle w:val="BodyText"/>
        <w:jc w:val="left"/>
      </w:pPr>
      <w:r w:rsidRPr="00A9547E">
        <w:t>If a dispute cannot be resolved</w:t>
      </w:r>
      <w:r w:rsidR="00655274">
        <w:t xml:space="preserve"> by any of these means</w:t>
      </w:r>
      <w:r w:rsidRPr="00A9547E">
        <w:t xml:space="preserve">, either a tenant or </w:t>
      </w:r>
      <w:r>
        <w:t xml:space="preserve">park operator may apply to SAT </w:t>
      </w:r>
      <w:r w:rsidR="0018446F">
        <w:t>for an order to resolve the dispute</w:t>
      </w:r>
      <w:r>
        <w:t xml:space="preserve">. </w:t>
      </w:r>
      <w:r w:rsidRPr="00E825C7">
        <w:t>SAT encourages parties to voluntarily use alternative methods of dispute resolution</w:t>
      </w:r>
      <w:r w:rsidR="00655274">
        <w:t xml:space="preserve"> available through SAT</w:t>
      </w:r>
      <w:r w:rsidRPr="00E825C7">
        <w:t>, in particular mediation and compulsory conference</w:t>
      </w:r>
      <w:r w:rsidR="00E74309">
        <w:t xml:space="preserve"> </w:t>
      </w:r>
      <w:r w:rsidR="00E942E2">
        <w:t xml:space="preserve">as an alternative to a </w:t>
      </w:r>
      <w:r w:rsidR="00655274">
        <w:t>formal hearing</w:t>
      </w:r>
      <w:r w:rsidRPr="00E825C7">
        <w:t xml:space="preserve">. </w:t>
      </w:r>
      <w:r w:rsidR="00736889">
        <w:t xml:space="preserve">Tenants and park operators can </w:t>
      </w:r>
      <w:r w:rsidR="00043292">
        <w:t xml:space="preserve">be </w:t>
      </w:r>
      <w:r w:rsidR="00736889">
        <w:t>self-represent</w:t>
      </w:r>
      <w:r w:rsidR="00043292">
        <w:t>ed</w:t>
      </w:r>
      <w:r w:rsidR="00736889">
        <w:t xml:space="preserve"> at </w:t>
      </w:r>
      <w:r w:rsidR="00275B20">
        <w:t xml:space="preserve">the </w:t>
      </w:r>
      <w:r w:rsidR="00736889">
        <w:t xml:space="preserve">SAT and do not need to </w:t>
      </w:r>
      <w:r w:rsidR="00381639">
        <w:t xml:space="preserve">engage </w:t>
      </w:r>
      <w:r w:rsidR="00736889">
        <w:t xml:space="preserve">a lawyer. </w:t>
      </w:r>
    </w:p>
    <w:p w14:paraId="2B0C84A1" w14:textId="6DBE51F0" w:rsidR="0041602B" w:rsidRDefault="0041602B" w:rsidP="0019309F">
      <w:pPr>
        <w:pStyle w:val="BodyText"/>
        <w:jc w:val="left"/>
      </w:pPr>
      <w:r>
        <w:lastRenderedPageBreak/>
        <w:t xml:space="preserve">The </w:t>
      </w:r>
      <w:r w:rsidR="00310285">
        <w:t>20</w:t>
      </w:r>
      <w:r w:rsidR="009F7737">
        <w:t xml:space="preserve">24 </w:t>
      </w:r>
      <w:r>
        <w:t>S</w:t>
      </w:r>
      <w:r w:rsidR="00275B20">
        <w:t xml:space="preserve">tate </w:t>
      </w:r>
      <w:r>
        <w:t>A</w:t>
      </w:r>
      <w:r w:rsidR="00275B20">
        <w:t xml:space="preserve">dministrative </w:t>
      </w:r>
      <w:r>
        <w:t>T</w:t>
      </w:r>
      <w:r w:rsidR="00275B20">
        <w:t>ribunal</w:t>
      </w:r>
      <w:r>
        <w:t xml:space="preserve"> </w:t>
      </w:r>
      <w:r w:rsidR="00337B89">
        <w:t>A</w:t>
      </w:r>
      <w:r>
        <w:t xml:space="preserve">nnual </w:t>
      </w:r>
      <w:r w:rsidR="00337B89">
        <w:t>R</w:t>
      </w:r>
      <w:r>
        <w:t>eport indicates that in 2023</w:t>
      </w:r>
      <w:r w:rsidR="00275B20">
        <w:t>–</w:t>
      </w:r>
      <w:r>
        <w:t>24</w:t>
      </w:r>
      <w:r w:rsidR="00E4369C">
        <w:t>,</w:t>
      </w:r>
      <w:r>
        <w:t xml:space="preserve"> 47 applications were made to SAT under the Act. Of these, 40.5</w:t>
      </w:r>
      <w:r w:rsidR="00275B20">
        <w:t xml:space="preserve"> per cent</w:t>
      </w:r>
      <w:r>
        <w:t xml:space="preserve"> were resolved </w:t>
      </w:r>
      <w:r w:rsidR="00B9258C">
        <w:t>by a decision made by SAT wh</w:t>
      </w:r>
      <w:r w:rsidR="00C84787">
        <w:t>ile</w:t>
      </w:r>
      <w:r w:rsidR="00B9258C">
        <w:t xml:space="preserve"> </w:t>
      </w:r>
      <w:r>
        <w:t>59.5</w:t>
      </w:r>
      <w:r w:rsidR="00275B20">
        <w:t xml:space="preserve"> per cent</w:t>
      </w:r>
      <w:r>
        <w:t xml:space="preserve"> were resolved via </w:t>
      </w:r>
      <w:r w:rsidR="00655274">
        <w:t xml:space="preserve">alternative </w:t>
      </w:r>
      <w:r>
        <w:t>dispute resolution</w:t>
      </w:r>
      <w:r w:rsidR="00275B20">
        <w:t>.</w:t>
      </w:r>
      <w:r w:rsidR="009F7737">
        <w:rPr>
          <w:rStyle w:val="FootnoteReference"/>
        </w:rPr>
        <w:footnoteReference w:id="61"/>
      </w:r>
    </w:p>
    <w:p w14:paraId="1804FF0E" w14:textId="531A0857" w:rsidR="00203D0E" w:rsidRPr="00E825C7" w:rsidRDefault="00313F25" w:rsidP="0019309F">
      <w:pPr>
        <w:pStyle w:val="BodyText"/>
        <w:jc w:val="left"/>
      </w:pPr>
      <w:r>
        <w:t>The</w:t>
      </w:r>
      <w:r w:rsidR="00203D0E">
        <w:t xml:space="preserve"> </w:t>
      </w:r>
      <w:r w:rsidR="00976D98" w:rsidRPr="00B23C32">
        <w:t>RTA</w:t>
      </w:r>
      <w:r w:rsidR="00203D0E">
        <w:t xml:space="preserve"> </w:t>
      </w:r>
      <w:r>
        <w:t>has recently been</w:t>
      </w:r>
      <w:r w:rsidR="00203D0E">
        <w:t xml:space="preserve"> amended to </w:t>
      </w:r>
      <w:r>
        <w:t>give</w:t>
      </w:r>
      <w:r w:rsidR="00203D0E">
        <w:t xml:space="preserve"> the Commissioner </w:t>
      </w:r>
      <w:r>
        <w:t xml:space="preserve">power </w:t>
      </w:r>
      <w:r w:rsidR="00203D0E">
        <w:t>to make a determination</w:t>
      </w:r>
      <w:r w:rsidR="00043292">
        <w:t xml:space="preserve"> </w:t>
      </w:r>
      <w:r w:rsidR="00203D0E">
        <w:t xml:space="preserve">on specific </w:t>
      </w:r>
      <w:r w:rsidR="00CF711E">
        <w:t xml:space="preserve">tenancy </w:t>
      </w:r>
      <w:r w:rsidR="00203D0E">
        <w:t xml:space="preserve">matters </w:t>
      </w:r>
      <w:r w:rsidR="00CF711E">
        <w:t>on the application of</w:t>
      </w:r>
      <w:r>
        <w:t xml:space="preserve"> either a </w:t>
      </w:r>
      <w:r w:rsidR="00655274">
        <w:t>tenant or a lessor</w:t>
      </w:r>
      <w:r w:rsidR="00203D0E">
        <w:t xml:space="preserve">. These matters include </w:t>
      </w:r>
      <w:r w:rsidR="00145E37">
        <w:t>decisions on pets and minor modifications</w:t>
      </w:r>
      <w:r w:rsidR="0058397D">
        <w:t xml:space="preserve"> to premises</w:t>
      </w:r>
      <w:r w:rsidR="00043292">
        <w:t xml:space="preserve"> and, </w:t>
      </w:r>
      <w:r w:rsidR="007310C0">
        <w:t xml:space="preserve">will be expanded to bond release applications </w:t>
      </w:r>
      <w:r w:rsidR="00043292">
        <w:t>in 2026</w:t>
      </w:r>
      <w:r w:rsidR="008E412D">
        <w:rPr>
          <w:rStyle w:val="FootnoteReference"/>
        </w:rPr>
        <w:footnoteReference w:id="62"/>
      </w:r>
      <w:r w:rsidR="00145E37">
        <w:t xml:space="preserve"> with either party able to appeal the Commissioner’s decision to the Magistrates Court</w:t>
      </w:r>
      <w:r w:rsidR="003D6F7D">
        <w:t xml:space="preserve"> (the Court)</w:t>
      </w:r>
      <w:r w:rsidR="008E412D">
        <w:t xml:space="preserve">. This pathway </w:t>
      </w:r>
      <w:r w:rsidR="001960B8">
        <w:t xml:space="preserve">is </w:t>
      </w:r>
      <w:r w:rsidR="0018446F">
        <w:t>a</w:t>
      </w:r>
      <w:r w:rsidR="001960B8">
        <w:t xml:space="preserve"> way to resolve disputes</w:t>
      </w:r>
      <w:r w:rsidR="00043292">
        <w:t xml:space="preserve"> as an alternative to the </w:t>
      </w:r>
      <w:r w:rsidR="001960B8">
        <w:t xml:space="preserve">Court and </w:t>
      </w:r>
      <w:r w:rsidR="008E412D">
        <w:t>is currently not</w:t>
      </w:r>
      <w:r>
        <w:t xml:space="preserve"> available</w:t>
      </w:r>
      <w:r w:rsidR="008E412D">
        <w:t xml:space="preserve"> for long-stay tenants in residential parks</w:t>
      </w:r>
      <w:r w:rsidR="001960B8">
        <w:t>.</w:t>
      </w:r>
    </w:p>
    <w:p w14:paraId="785C7BAC" w14:textId="7CAC12D5" w:rsidR="0041602B" w:rsidRPr="007A4E3E" w:rsidRDefault="005709B1" w:rsidP="0019309F">
      <w:pPr>
        <w:pStyle w:val="Heading3"/>
        <w:jc w:val="left"/>
      </w:pPr>
      <w:bookmarkStart w:id="221" w:name="_Toc219884906"/>
      <w:r>
        <w:t>Feedback</w:t>
      </w:r>
      <w:bookmarkEnd w:id="221"/>
    </w:p>
    <w:p w14:paraId="0F0161C2" w14:textId="7E7D01E3" w:rsidR="0041602B" w:rsidRDefault="00F05253" w:rsidP="0019309F">
      <w:pPr>
        <w:pStyle w:val="BodyText"/>
        <w:jc w:val="left"/>
      </w:pPr>
      <w:r>
        <w:t xml:space="preserve">LGIRS </w:t>
      </w:r>
      <w:r w:rsidR="00CF711E">
        <w:t xml:space="preserve">asks </w:t>
      </w:r>
      <w:r w:rsidR="00655274">
        <w:t xml:space="preserve">stakeholders </w:t>
      </w:r>
      <w:r w:rsidR="00CF711E">
        <w:t xml:space="preserve">to </w:t>
      </w:r>
      <w:r w:rsidR="00655274">
        <w:t xml:space="preserve">consider </w:t>
      </w:r>
      <w:r w:rsidR="0041602B">
        <w:t xml:space="preserve">whether the existing dispute resolution framework </w:t>
      </w:r>
      <w:r w:rsidR="00CF711E">
        <w:t xml:space="preserve">for residential parks </w:t>
      </w:r>
      <w:r w:rsidR="0041602B">
        <w:t>is well understood and</w:t>
      </w:r>
      <w:r w:rsidR="00753159">
        <w:t xml:space="preserve"> </w:t>
      </w:r>
      <w:r w:rsidR="0041602B">
        <w:t xml:space="preserve">operating effectively. </w:t>
      </w:r>
    </w:p>
    <w:tbl>
      <w:tblPr>
        <w:tblStyle w:val="TableGrid"/>
        <w:tblW w:w="0" w:type="auto"/>
        <w:tblLook w:val="04A0" w:firstRow="1" w:lastRow="0" w:firstColumn="1" w:lastColumn="0" w:noHBand="0" w:noVBand="1"/>
      </w:tblPr>
      <w:tblGrid>
        <w:gridCol w:w="9010"/>
      </w:tblGrid>
      <w:tr w:rsidR="000524C5" w14:paraId="5155CC8A" w14:textId="77777777" w:rsidTr="000524C5">
        <w:tc>
          <w:tcPr>
            <w:tcW w:w="9010" w:type="dxa"/>
          </w:tcPr>
          <w:p w14:paraId="4A40F9D3" w14:textId="16837DD4" w:rsidR="000524C5" w:rsidRPr="005B6C74" w:rsidRDefault="000524C5" w:rsidP="0019309F">
            <w:pPr>
              <w:pStyle w:val="BodyText"/>
              <w:jc w:val="left"/>
              <w:rPr>
                <w:sz w:val="24"/>
              </w:rPr>
            </w:pPr>
            <w:r w:rsidRPr="003F7731">
              <w:rPr>
                <w:b/>
                <w:bCs/>
                <w:sz w:val="24"/>
                <w:szCs w:val="28"/>
              </w:rPr>
              <w:t>Consultation question</w:t>
            </w:r>
            <w:r w:rsidR="003F7731">
              <w:rPr>
                <w:b/>
                <w:bCs/>
                <w:sz w:val="24"/>
                <w:szCs w:val="28"/>
              </w:rPr>
              <w:t>s</w:t>
            </w:r>
          </w:p>
          <w:p w14:paraId="123B2E47" w14:textId="77777777" w:rsidR="000524C5" w:rsidRPr="009C0A3C" w:rsidRDefault="000524C5" w:rsidP="0019309F">
            <w:pPr>
              <w:pStyle w:val="ListParagraph"/>
              <w:jc w:val="left"/>
              <w:rPr>
                <w:sz w:val="24"/>
                <w:szCs w:val="32"/>
              </w:rPr>
            </w:pPr>
            <w:r w:rsidRPr="009C0A3C">
              <w:rPr>
                <w:sz w:val="24"/>
                <w:szCs w:val="32"/>
              </w:rPr>
              <w:t>Are the current processes for resolving disputes clear and effective?</w:t>
            </w:r>
          </w:p>
          <w:p w14:paraId="0D6E08D7" w14:textId="17B74F49" w:rsidR="000524C5" w:rsidRPr="00D936A7" w:rsidRDefault="00765F50" w:rsidP="0019309F">
            <w:pPr>
              <w:pStyle w:val="ListParagraph"/>
              <w:jc w:val="left"/>
            </w:pPr>
            <w:r w:rsidRPr="009C0A3C">
              <w:rPr>
                <w:sz w:val="24"/>
                <w:szCs w:val="32"/>
              </w:rPr>
              <w:t>Is there benefit to the</w:t>
            </w:r>
            <w:r w:rsidR="000524C5" w:rsidRPr="009C0A3C">
              <w:rPr>
                <w:sz w:val="24"/>
                <w:szCs w:val="32"/>
              </w:rPr>
              <w:t xml:space="preserve"> Commissioner</w:t>
            </w:r>
            <w:r w:rsidR="00E50B67" w:rsidRPr="009C0A3C">
              <w:rPr>
                <w:sz w:val="24"/>
                <w:szCs w:val="32"/>
              </w:rPr>
              <w:t>’s</w:t>
            </w:r>
            <w:r w:rsidR="000524C5" w:rsidRPr="009C0A3C">
              <w:rPr>
                <w:sz w:val="24"/>
                <w:szCs w:val="32"/>
              </w:rPr>
              <w:t xml:space="preserve"> determination function </w:t>
            </w:r>
            <w:r w:rsidRPr="009C0A3C">
              <w:rPr>
                <w:sz w:val="24"/>
                <w:szCs w:val="32"/>
              </w:rPr>
              <w:t xml:space="preserve">expanding to </w:t>
            </w:r>
            <w:r w:rsidR="00E50B67" w:rsidRPr="009C0A3C">
              <w:rPr>
                <w:sz w:val="24"/>
                <w:szCs w:val="32"/>
              </w:rPr>
              <w:t xml:space="preserve">include </w:t>
            </w:r>
            <w:r w:rsidRPr="009C0A3C">
              <w:rPr>
                <w:sz w:val="24"/>
                <w:szCs w:val="32"/>
              </w:rPr>
              <w:t xml:space="preserve">disputes </w:t>
            </w:r>
            <w:r w:rsidR="00C84787" w:rsidRPr="009C0A3C">
              <w:rPr>
                <w:sz w:val="24"/>
                <w:szCs w:val="32"/>
              </w:rPr>
              <w:t xml:space="preserve">in residential parks </w:t>
            </w:r>
            <w:r w:rsidRPr="009C0A3C">
              <w:rPr>
                <w:sz w:val="24"/>
                <w:szCs w:val="32"/>
              </w:rPr>
              <w:t xml:space="preserve">involving </w:t>
            </w:r>
            <w:r w:rsidR="000524C5" w:rsidRPr="009C0A3C">
              <w:rPr>
                <w:sz w:val="24"/>
                <w:szCs w:val="32"/>
              </w:rPr>
              <w:t>disposal of security bonds</w:t>
            </w:r>
            <w:r w:rsidR="003F7731" w:rsidRPr="009C0A3C">
              <w:rPr>
                <w:sz w:val="24"/>
                <w:szCs w:val="32"/>
              </w:rPr>
              <w:t>?</w:t>
            </w:r>
          </w:p>
        </w:tc>
      </w:tr>
    </w:tbl>
    <w:p w14:paraId="426D3B46" w14:textId="74A4599E" w:rsidR="003E4FC0" w:rsidRDefault="003E4FC0" w:rsidP="0019309F">
      <w:pPr>
        <w:pStyle w:val="Heading2"/>
        <w:jc w:val="left"/>
      </w:pPr>
      <w:bookmarkStart w:id="222" w:name="_Toc219207138"/>
      <w:bookmarkStart w:id="223" w:name="_Toc219884907"/>
      <w:bookmarkEnd w:id="222"/>
      <w:r>
        <w:t>Sale of homes</w:t>
      </w:r>
      <w:bookmarkEnd w:id="223"/>
    </w:p>
    <w:p w14:paraId="75B59764" w14:textId="7263DAD9" w:rsidR="001960B8" w:rsidRDefault="00145E37" w:rsidP="0019309F">
      <w:pPr>
        <w:pStyle w:val="BodyText"/>
        <w:jc w:val="left"/>
      </w:pPr>
      <w:r>
        <w:t xml:space="preserve">The process to sell a </w:t>
      </w:r>
      <w:r w:rsidR="00CF711E">
        <w:t xml:space="preserve">tenant-owned </w:t>
      </w:r>
      <w:r>
        <w:t>relocatable home in a residential park is complex</w:t>
      </w:r>
      <w:r w:rsidR="00CF711E">
        <w:t>,</w:t>
      </w:r>
      <w:r>
        <w:t xml:space="preserve"> as the land on which the home is located is not owned by the</w:t>
      </w:r>
      <w:r w:rsidR="00CC0D7F">
        <w:t xml:space="preserve"> seller</w:t>
      </w:r>
      <w:r>
        <w:t xml:space="preserve"> of the home. </w:t>
      </w:r>
    </w:p>
    <w:p w14:paraId="7E108F68" w14:textId="447D7191" w:rsidR="00145E37" w:rsidRDefault="001960B8" w:rsidP="0019309F">
      <w:pPr>
        <w:pStyle w:val="BodyText"/>
        <w:jc w:val="left"/>
      </w:pPr>
      <w:r>
        <w:t xml:space="preserve">The buyer of the home must </w:t>
      </w:r>
      <w:r w:rsidR="00CC0D7F">
        <w:t xml:space="preserve">therefore negotiate </w:t>
      </w:r>
      <w:r>
        <w:t xml:space="preserve">with the park operator to </w:t>
      </w:r>
      <w:r w:rsidR="00CC0D7F">
        <w:t xml:space="preserve">obtain a long-stay agreement to </w:t>
      </w:r>
      <w:r>
        <w:t>allow t</w:t>
      </w:r>
      <w:r w:rsidR="00CC0D7F">
        <w:t>hem</w:t>
      </w:r>
      <w:r>
        <w:t xml:space="preserve"> to reside at the park</w:t>
      </w:r>
      <w:r w:rsidR="00337B89">
        <w:t xml:space="preserve"> and</w:t>
      </w:r>
      <w:r w:rsidR="00021701">
        <w:t xml:space="preserve">, separately, </w:t>
      </w:r>
      <w:r w:rsidR="008143C1">
        <w:t xml:space="preserve">negotiate </w:t>
      </w:r>
      <w:r w:rsidR="00CF711E">
        <w:t xml:space="preserve">a </w:t>
      </w:r>
      <w:r w:rsidR="00E86601">
        <w:t xml:space="preserve">purchase </w:t>
      </w:r>
      <w:r w:rsidR="00CF711E">
        <w:t xml:space="preserve">price </w:t>
      </w:r>
      <w:r w:rsidR="00337B89">
        <w:t>with the seller of the home.</w:t>
      </w:r>
    </w:p>
    <w:p w14:paraId="2B1BF7C7" w14:textId="239D7D50" w:rsidR="002E66A3" w:rsidRDefault="002E66A3" w:rsidP="0019309F">
      <w:pPr>
        <w:pStyle w:val="Heading3"/>
        <w:jc w:val="left"/>
      </w:pPr>
      <w:bookmarkStart w:id="224" w:name="_Toc215579555"/>
      <w:bookmarkStart w:id="225" w:name="_Toc215579641"/>
      <w:bookmarkStart w:id="226" w:name="_Toc215579726"/>
      <w:bookmarkStart w:id="227" w:name="_Toc219884908"/>
      <w:bookmarkEnd w:id="224"/>
      <w:bookmarkEnd w:id="225"/>
      <w:bookmarkEnd w:id="226"/>
      <w:r>
        <w:t>Issues</w:t>
      </w:r>
      <w:bookmarkEnd w:id="227"/>
    </w:p>
    <w:p w14:paraId="3FC61F8E" w14:textId="53B56B7F" w:rsidR="009F268C" w:rsidRDefault="00F05253" w:rsidP="0019309F">
      <w:pPr>
        <w:pStyle w:val="BodyText"/>
        <w:jc w:val="left"/>
      </w:pPr>
      <w:r>
        <w:t>LGIRS</w:t>
      </w:r>
      <w:r w:rsidR="00060051">
        <w:t xml:space="preserve"> invites submissions from stakeholders to outline any issues </w:t>
      </w:r>
      <w:r w:rsidR="00447926">
        <w:t xml:space="preserve">they have experienced </w:t>
      </w:r>
      <w:r w:rsidR="00060051">
        <w:t>involving the sale of homes in residential parks.</w:t>
      </w:r>
    </w:p>
    <w:p w14:paraId="67C8CBC2" w14:textId="21C6D5AC" w:rsidR="00E860B0" w:rsidRDefault="00E860B0" w:rsidP="0019309F">
      <w:pPr>
        <w:pStyle w:val="Heading3"/>
        <w:jc w:val="left"/>
      </w:pPr>
      <w:bookmarkStart w:id="228" w:name="_Toc219884909"/>
      <w:r>
        <w:t>Current requirements</w:t>
      </w:r>
      <w:bookmarkEnd w:id="228"/>
    </w:p>
    <w:p w14:paraId="0F6A563A" w14:textId="0BF4F2FB" w:rsidR="000D5CCB" w:rsidRDefault="00E860B0" w:rsidP="0019309F">
      <w:pPr>
        <w:pStyle w:val="BodyText"/>
        <w:jc w:val="left"/>
      </w:pPr>
      <w:r>
        <w:t xml:space="preserve">The Act </w:t>
      </w:r>
      <w:r w:rsidR="00EB57A8">
        <w:t xml:space="preserve">provides </w:t>
      </w:r>
      <w:r w:rsidR="00CF711E">
        <w:t xml:space="preserve">a range of </w:t>
      </w:r>
      <w:r w:rsidR="00EB57A8">
        <w:t xml:space="preserve">protections for long-stay tenants </w:t>
      </w:r>
      <w:r w:rsidR="000D5CCB">
        <w:t>that seek to sell their home, prospective long-stay tenants that intend to buy a home and park operators</w:t>
      </w:r>
      <w:r w:rsidR="00CC0D7F">
        <w:t xml:space="preserve"> during the sale process</w:t>
      </w:r>
      <w:r w:rsidR="000D5CCB">
        <w:t>.</w:t>
      </w:r>
    </w:p>
    <w:p w14:paraId="5BAA331B" w14:textId="54F3471C" w:rsidR="004E0A6F" w:rsidRDefault="00F568E5" w:rsidP="0019309F">
      <w:pPr>
        <w:pStyle w:val="BodyText"/>
        <w:jc w:val="left"/>
      </w:pPr>
      <w:r>
        <w:lastRenderedPageBreak/>
        <w:t xml:space="preserve">The Act </w:t>
      </w:r>
      <w:r w:rsidR="00AF0048">
        <w:t xml:space="preserve">allows a long-stay tenant to sell their home </w:t>
      </w:r>
      <w:r w:rsidR="00E86601">
        <w:t xml:space="preserve">while </w:t>
      </w:r>
      <w:r w:rsidR="00CF711E">
        <w:t xml:space="preserve">it is </w:t>
      </w:r>
      <w:r w:rsidR="00AF0048">
        <w:t>positioned in a residential park</w:t>
      </w:r>
      <w:r w:rsidR="003D6F7D">
        <w:t>.</w:t>
      </w:r>
      <w:r w:rsidR="00887F18">
        <w:rPr>
          <w:rStyle w:val="FootnoteReference"/>
        </w:rPr>
        <w:footnoteReference w:id="63"/>
      </w:r>
      <w:r w:rsidR="00474DE7">
        <w:t xml:space="preserve"> The tenant is required to notify the park operator </w:t>
      </w:r>
      <w:r w:rsidR="004075FA">
        <w:t xml:space="preserve">prior to </w:t>
      </w:r>
      <w:r w:rsidR="00695A12">
        <w:t xml:space="preserve">offering to sell </w:t>
      </w:r>
      <w:r w:rsidR="00144E7B">
        <w:t>the home or assign their rights</w:t>
      </w:r>
      <w:r w:rsidR="00804246">
        <w:t xml:space="preserve"> under the long-stay agreement to a </w:t>
      </w:r>
      <w:r w:rsidR="00AA2467">
        <w:t>prospective tenant</w:t>
      </w:r>
      <w:r w:rsidR="003D6F7D">
        <w:t>.</w:t>
      </w:r>
      <w:r w:rsidR="0017774C">
        <w:rPr>
          <w:rStyle w:val="FootnoteReference"/>
        </w:rPr>
        <w:footnoteReference w:id="64"/>
      </w:r>
      <w:r w:rsidR="00AA2467">
        <w:t xml:space="preserve"> This </w:t>
      </w:r>
      <w:r w:rsidR="00FC416F">
        <w:t xml:space="preserve">allows the park operator to </w:t>
      </w:r>
      <w:r w:rsidR="00593121">
        <w:t xml:space="preserve">be </w:t>
      </w:r>
      <w:r w:rsidR="0006427C">
        <w:t>prepared.</w:t>
      </w:r>
      <w:r w:rsidR="0061196C">
        <w:t xml:space="preserve"> Further, the seller or </w:t>
      </w:r>
      <w:r w:rsidR="00035AF3">
        <w:t xml:space="preserve">seller’s agent must provide a </w:t>
      </w:r>
      <w:hyperlink r:id="rId21" w:history="1">
        <w:r w:rsidR="00035AF3" w:rsidRPr="0073054D">
          <w:rPr>
            <w:rStyle w:val="Hyperlink"/>
          </w:rPr>
          <w:t xml:space="preserve">Form </w:t>
        </w:r>
        <w:r w:rsidR="00E132A3" w:rsidRPr="0073054D">
          <w:rPr>
            <w:rStyle w:val="Hyperlink"/>
          </w:rPr>
          <w:t>RP2C</w:t>
        </w:r>
      </w:hyperlink>
      <w:r w:rsidR="00E132A3">
        <w:t xml:space="preserve"> </w:t>
      </w:r>
      <w:r w:rsidR="00D808B4">
        <w:rPr>
          <w:rStyle w:val="FootnoteReference"/>
        </w:rPr>
        <w:footnoteReference w:id="65"/>
      </w:r>
      <w:r w:rsidR="00C54514">
        <w:t xml:space="preserve"> </w:t>
      </w:r>
      <w:r w:rsidR="00E132A3">
        <w:t xml:space="preserve">to </w:t>
      </w:r>
      <w:r w:rsidR="00C0049B">
        <w:t xml:space="preserve">the buyer </w:t>
      </w:r>
      <w:r w:rsidR="00A9426D">
        <w:t>of</w:t>
      </w:r>
      <w:r w:rsidR="00C0049B">
        <w:t xml:space="preserve"> the home </w:t>
      </w:r>
      <w:r w:rsidR="0095019D">
        <w:t>before signing the sale contract</w:t>
      </w:r>
      <w:r w:rsidR="00447926">
        <w:t>.</w:t>
      </w:r>
      <w:r w:rsidR="00C30E41">
        <w:t xml:space="preserve"> </w:t>
      </w:r>
      <w:r w:rsidR="00447926">
        <w:t>The form</w:t>
      </w:r>
      <w:r w:rsidR="0073054D">
        <w:t xml:space="preserve"> outlines </w:t>
      </w:r>
      <w:r w:rsidR="008E16D9">
        <w:t xml:space="preserve">details of the site </w:t>
      </w:r>
      <w:r w:rsidR="004E0A6F">
        <w:t xml:space="preserve">and </w:t>
      </w:r>
      <w:r w:rsidR="00447926">
        <w:t xml:space="preserve">notifies the buyer </w:t>
      </w:r>
      <w:r w:rsidR="004E0A6F">
        <w:t>that the sale of the home is conditional on the buyer receiving a long-stay agreement from the park operator.</w:t>
      </w:r>
    </w:p>
    <w:p w14:paraId="29E4A778" w14:textId="35900AC6" w:rsidR="008E16D9" w:rsidRDefault="008E16D9" w:rsidP="0019309F">
      <w:pPr>
        <w:pStyle w:val="BodyText"/>
        <w:jc w:val="left"/>
      </w:pPr>
      <w:r>
        <w:t>Separately, the buyer of the home will negotiate a l</w:t>
      </w:r>
      <w:r w:rsidR="00BD1EAA">
        <w:t xml:space="preserve">ong-stay agreement with the park operator and receive mandatory disclosure information prior to signing that agreement (see </w:t>
      </w:r>
      <w:r w:rsidR="0018446F">
        <w:t xml:space="preserve">part </w:t>
      </w:r>
      <w:r w:rsidR="00CC0D7F">
        <w:t>3.</w:t>
      </w:r>
      <w:r w:rsidR="0018446F">
        <w:t>1</w:t>
      </w:r>
      <w:r w:rsidR="00CC0D7F">
        <w:t xml:space="preserve"> above</w:t>
      </w:r>
      <w:r w:rsidR="00285009">
        <w:t xml:space="preserve">). The sale contract for the home </w:t>
      </w:r>
      <w:r w:rsidR="00A24C68">
        <w:t xml:space="preserve">will be </w:t>
      </w:r>
      <w:r w:rsidR="00285009">
        <w:t>conditional on the buyer agreeing to a long-stay agreement with the park operator</w:t>
      </w:r>
      <w:r w:rsidR="00C54514">
        <w:t>.</w:t>
      </w:r>
      <w:r w:rsidR="00117502">
        <w:rPr>
          <w:rStyle w:val="FootnoteReference"/>
        </w:rPr>
        <w:footnoteReference w:id="66"/>
      </w:r>
      <w:r w:rsidR="00251DAD">
        <w:t xml:space="preserve"> The park operator must not </w:t>
      </w:r>
      <w:r w:rsidR="00A13825">
        <w:t xml:space="preserve">interfere with, hinder or </w:t>
      </w:r>
      <w:r w:rsidR="00251DAD">
        <w:t>obstruct the sale of the home</w:t>
      </w:r>
      <w:r w:rsidR="00C54514">
        <w:t>.</w:t>
      </w:r>
      <w:r w:rsidR="00A13825">
        <w:rPr>
          <w:rStyle w:val="FootnoteReference"/>
        </w:rPr>
        <w:footnoteReference w:id="67"/>
      </w:r>
      <w:r w:rsidR="00C01AD1">
        <w:t xml:space="preserve"> </w:t>
      </w:r>
      <w:r w:rsidR="00121CE3">
        <w:t>A seller of a home can choose their own selling agent</w:t>
      </w:r>
      <w:r w:rsidR="00C54514">
        <w:t>.</w:t>
      </w:r>
      <w:r w:rsidR="001F74CA">
        <w:rPr>
          <w:rStyle w:val="FootnoteReference"/>
        </w:rPr>
        <w:footnoteReference w:id="68"/>
      </w:r>
    </w:p>
    <w:p w14:paraId="11F8F233" w14:textId="083E8CFB" w:rsidR="00117502" w:rsidRDefault="005709B1" w:rsidP="0019309F">
      <w:pPr>
        <w:pStyle w:val="Heading3"/>
        <w:jc w:val="left"/>
      </w:pPr>
      <w:bookmarkStart w:id="229" w:name="_Toc219884910"/>
      <w:r>
        <w:t>Feedback</w:t>
      </w:r>
      <w:bookmarkEnd w:id="229"/>
    </w:p>
    <w:p w14:paraId="104E0005" w14:textId="6E530CC7" w:rsidR="00117502" w:rsidRDefault="00F05253" w:rsidP="0019309F">
      <w:pPr>
        <w:pStyle w:val="BodyText"/>
        <w:jc w:val="left"/>
      </w:pPr>
      <w:r>
        <w:t>LGIRS</w:t>
      </w:r>
      <w:r w:rsidR="00A24C68">
        <w:t xml:space="preserve"> wishes to </w:t>
      </w:r>
      <w:r w:rsidR="00447926">
        <w:t xml:space="preserve">determine whether </w:t>
      </w:r>
      <w:r w:rsidR="00117502">
        <w:t xml:space="preserve">the </w:t>
      </w:r>
      <w:r w:rsidR="00CC4B5A">
        <w:t xml:space="preserve">current </w:t>
      </w:r>
      <w:r w:rsidR="00145E37">
        <w:t xml:space="preserve">provisions </w:t>
      </w:r>
      <w:r w:rsidR="00CC4B5A">
        <w:t xml:space="preserve">in the Act for </w:t>
      </w:r>
      <w:r w:rsidR="008B0193">
        <w:t>the sale of relocatable homes</w:t>
      </w:r>
      <w:r w:rsidR="00CC4B5A">
        <w:t xml:space="preserve"> are </w:t>
      </w:r>
      <w:r w:rsidR="006A3A32">
        <w:t>operating effectively.</w:t>
      </w:r>
    </w:p>
    <w:tbl>
      <w:tblPr>
        <w:tblStyle w:val="TableGrid"/>
        <w:tblW w:w="0" w:type="auto"/>
        <w:tblLook w:val="04A0" w:firstRow="1" w:lastRow="0" w:firstColumn="1" w:lastColumn="0" w:noHBand="0" w:noVBand="1"/>
      </w:tblPr>
      <w:tblGrid>
        <w:gridCol w:w="9010"/>
      </w:tblGrid>
      <w:tr w:rsidR="00B37BF1" w14:paraId="0911E944" w14:textId="77777777" w:rsidTr="00B37BF1">
        <w:tc>
          <w:tcPr>
            <w:tcW w:w="9010" w:type="dxa"/>
          </w:tcPr>
          <w:p w14:paraId="13F4250A" w14:textId="6E6957D1" w:rsidR="00B37BF1" w:rsidRPr="005B6C74" w:rsidRDefault="00B37BF1" w:rsidP="0019309F">
            <w:pPr>
              <w:rPr>
                <w:b/>
                <w:bCs/>
                <w:sz w:val="24"/>
              </w:rPr>
            </w:pPr>
            <w:r w:rsidRPr="003F7731">
              <w:rPr>
                <w:b/>
                <w:bCs/>
                <w:sz w:val="24"/>
                <w:szCs w:val="32"/>
              </w:rPr>
              <w:t>Consultation questio</w:t>
            </w:r>
            <w:r w:rsidR="00E50B67" w:rsidRPr="003F7731">
              <w:rPr>
                <w:b/>
                <w:bCs/>
                <w:sz w:val="24"/>
                <w:szCs w:val="32"/>
              </w:rPr>
              <w:t>n</w:t>
            </w:r>
          </w:p>
          <w:p w14:paraId="0B2AEEA5" w14:textId="6C0BAAF5" w:rsidR="00B37BF1" w:rsidRPr="00D936A7" w:rsidRDefault="00E50B67" w:rsidP="0019309F">
            <w:pPr>
              <w:pStyle w:val="ListParagraph"/>
              <w:jc w:val="left"/>
            </w:pPr>
            <w:r w:rsidRPr="009C0A3C">
              <w:rPr>
                <w:sz w:val="24"/>
                <w:szCs w:val="32"/>
              </w:rPr>
              <w:t>Are the current provisions around selling a home adequate</w:t>
            </w:r>
            <w:r w:rsidR="00B37BF1" w:rsidRPr="009C0A3C">
              <w:rPr>
                <w:sz w:val="24"/>
                <w:szCs w:val="32"/>
              </w:rPr>
              <w:t>?</w:t>
            </w:r>
            <w:r w:rsidR="00100920" w:rsidRPr="009C0A3C">
              <w:rPr>
                <w:sz w:val="24"/>
                <w:szCs w:val="32"/>
              </w:rPr>
              <w:t xml:space="preserve"> If no, what changes are required</w:t>
            </w:r>
            <w:r w:rsidR="003F7731" w:rsidRPr="009C0A3C">
              <w:rPr>
                <w:sz w:val="24"/>
                <w:szCs w:val="32"/>
              </w:rPr>
              <w:t>?</w:t>
            </w:r>
          </w:p>
        </w:tc>
      </w:tr>
    </w:tbl>
    <w:p w14:paraId="2A4A6C52" w14:textId="77777777" w:rsidR="00100920" w:rsidRDefault="00100920" w:rsidP="0019309F">
      <w:pPr>
        <w:spacing w:after="0" w:line="240" w:lineRule="auto"/>
        <w:rPr>
          <w:rFonts w:cs="Arial"/>
          <w:b/>
          <w:bCs/>
          <w:color w:val="38115E"/>
          <w:sz w:val="42"/>
          <w:szCs w:val="32"/>
        </w:rPr>
      </w:pPr>
      <w:r>
        <w:br w:type="page"/>
      </w:r>
    </w:p>
    <w:p w14:paraId="67A7ED93" w14:textId="2CF0BB33" w:rsidR="003706E5" w:rsidRDefault="00E86601" w:rsidP="0019309F">
      <w:pPr>
        <w:pStyle w:val="Heading1"/>
        <w:numPr>
          <w:ilvl w:val="0"/>
          <w:numId w:val="11"/>
        </w:numPr>
      </w:pPr>
      <w:bookmarkStart w:id="230" w:name="_Toc219884911"/>
      <w:r>
        <w:lastRenderedPageBreak/>
        <w:t>End of a tenancy</w:t>
      </w:r>
      <w:bookmarkEnd w:id="230"/>
    </w:p>
    <w:p w14:paraId="6EBFC09F" w14:textId="0E3764CF" w:rsidR="0053491A" w:rsidRDefault="0053491A" w:rsidP="0019309F">
      <w:pPr>
        <w:pStyle w:val="BodyText"/>
        <w:jc w:val="left"/>
      </w:pPr>
      <w:r>
        <w:t xml:space="preserve">Termination of long-stay agreements is a key issue raised in complaints to LGIRS. </w:t>
      </w:r>
    </w:p>
    <w:p w14:paraId="21773421" w14:textId="77777777" w:rsidR="00A848F8" w:rsidRDefault="00C672FC" w:rsidP="0019309F">
      <w:pPr>
        <w:pStyle w:val="BodyText"/>
        <w:jc w:val="left"/>
      </w:pPr>
      <w:r>
        <w:t>The Act outlines</w:t>
      </w:r>
      <w:r w:rsidR="00A848F8">
        <w:t>:</w:t>
      </w:r>
    </w:p>
    <w:p w14:paraId="739C90EB" w14:textId="77777777" w:rsidR="0053491A" w:rsidRDefault="0053491A" w:rsidP="0019309F">
      <w:pPr>
        <w:pStyle w:val="Bullet1"/>
        <w:jc w:val="left"/>
      </w:pPr>
      <w:r>
        <w:t xml:space="preserve">the permissible grounds for termination; </w:t>
      </w:r>
    </w:p>
    <w:p w14:paraId="1CEEA9A7" w14:textId="3B1F3DEF" w:rsidR="00E87471" w:rsidRDefault="00C672FC" w:rsidP="0019309F">
      <w:pPr>
        <w:pStyle w:val="Bullet1"/>
        <w:jc w:val="left"/>
      </w:pPr>
      <w:r>
        <w:t>minimum notification periods</w:t>
      </w:r>
      <w:r w:rsidR="005247BD">
        <w:t xml:space="preserve"> prior to termination</w:t>
      </w:r>
      <w:r w:rsidR="0053491A">
        <w:t>; and</w:t>
      </w:r>
    </w:p>
    <w:p w14:paraId="0A990A64" w14:textId="7E231EE1" w:rsidR="000D0759" w:rsidRPr="000D0759" w:rsidRDefault="00C672FC" w:rsidP="0019309F">
      <w:pPr>
        <w:pStyle w:val="Bullet1"/>
        <w:jc w:val="left"/>
      </w:pPr>
      <w:r>
        <w:t>compensation requirements to assist long-stay tenants vacate the park.</w:t>
      </w:r>
    </w:p>
    <w:p w14:paraId="560F305E" w14:textId="18569843" w:rsidR="00053BA5" w:rsidRDefault="00053BA5" w:rsidP="0019309F">
      <w:pPr>
        <w:pStyle w:val="Heading2"/>
        <w:jc w:val="left"/>
      </w:pPr>
      <w:bookmarkStart w:id="231" w:name="_Toc219884912"/>
      <w:r>
        <w:t>Grounds for termination</w:t>
      </w:r>
      <w:bookmarkEnd w:id="231"/>
    </w:p>
    <w:p w14:paraId="2A27E0BD" w14:textId="23DB7622" w:rsidR="00053BA5" w:rsidRDefault="00053BA5" w:rsidP="0019309F">
      <w:pPr>
        <w:pStyle w:val="Heading3"/>
        <w:jc w:val="left"/>
      </w:pPr>
      <w:bookmarkStart w:id="232" w:name="_Toc219884913"/>
      <w:r>
        <w:t>Issues</w:t>
      </w:r>
      <w:bookmarkEnd w:id="232"/>
    </w:p>
    <w:p w14:paraId="515668F7" w14:textId="5C22075E" w:rsidR="00053BA5" w:rsidRDefault="00053BA5" w:rsidP="0019309F">
      <w:pPr>
        <w:pStyle w:val="BodyText"/>
        <w:jc w:val="left"/>
      </w:pPr>
      <w:r>
        <w:t xml:space="preserve">A park operator or long-stay tenant can only terminate a long-stay </w:t>
      </w:r>
      <w:r w:rsidR="006E0D3F">
        <w:t>agreement</w:t>
      </w:r>
      <w:r>
        <w:t xml:space="preserve"> using a ground outlined in the Act. LGIRS asks stakeholders to consider if the</w:t>
      </w:r>
      <w:r w:rsidR="006E0D3F">
        <w:t xml:space="preserve"> current</w:t>
      </w:r>
      <w:r>
        <w:t xml:space="preserve"> grounds require amendment.</w:t>
      </w:r>
    </w:p>
    <w:p w14:paraId="0D9E58DD" w14:textId="71FA28AA" w:rsidR="00053BA5" w:rsidRDefault="00053BA5" w:rsidP="0019309F">
      <w:pPr>
        <w:pStyle w:val="Heading3"/>
        <w:jc w:val="left"/>
      </w:pPr>
      <w:bookmarkStart w:id="233" w:name="_Toc219884914"/>
      <w:r>
        <w:t xml:space="preserve">Current </w:t>
      </w:r>
      <w:r w:rsidR="00BB6AB6">
        <w:t>r</w:t>
      </w:r>
      <w:r>
        <w:t>equirements</w:t>
      </w:r>
      <w:bookmarkEnd w:id="233"/>
    </w:p>
    <w:p w14:paraId="3D9D1A88" w14:textId="5E04FF3A" w:rsidR="00053BA5" w:rsidRPr="00A82AF3" w:rsidRDefault="00053BA5" w:rsidP="0019309F">
      <w:r w:rsidRPr="00A82AF3">
        <w:rPr>
          <w:b/>
          <w:bCs/>
        </w:rPr>
        <w:t xml:space="preserve">Table </w:t>
      </w:r>
      <w:r>
        <w:rPr>
          <w:b/>
          <w:bCs/>
        </w:rPr>
        <w:t>4</w:t>
      </w:r>
      <w:r w:rsidRPr="00A82AF3">
        <w:t xml:space="preserve">: Grounds for an operator and long-stay tenant to terminate </w:t>
      </w:r>
    </w:p>
    <w:tbl>
      <w:tblPr>
        <w:tblStyle w:val="GridTable6Colorful"/>
        <w:tblW w:w="0" w:type="auto"/>
        <w:tblLook w:val="04A0" w:firstRow="1" w:lastRow="0" w:firstColumn="1" w:lastColumn="0" w:noHBand="0" w:noVBand="1"/>
      </w:tblPr>
      <w:tblGrid>
        <w:gridCol w:w="4815"/>
        <w:gridCol w:w="2268"/>
        <w:gridCol w:w="1927"/>
      </w:tblGrid>
      <w:tr w:rsidR="00053BA5" w:rsidRPr="006D3E33" w14:paraId="06B9AA1C" w14:textId="77777777" w:rsidTr="00232F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vMerge w:val="restart"/>
          </w:tcPr>
          <w:p w14:paraId="4F0FB184" w14:textId="01E5719C" w:rsidR="00053BA5" w:rsidRPr="00564D60" w:rsidRDefault="00053BA5" w:rsidP="0019309F">
            <w:pPr>
              <w:spacing w:before="60" w:after="60" w:line="240" w:lineRule="auto"/>
              <w:rPr>
                <w:rFonts w:cs="Arial"/>
                <w:color w:val="auto"/>
                <w:sz w:val="22"/>
                <w:szCs w:val="22"/>
              </w:rPr>
            </w:pPr>
            <w:r w:rsidRPr="00564D60">
              <w:rPr>
                <w:rFonts w:cs="Arial"/>
                <w:sz w:val="22"/>
                <w:szCs w:val="22"/>
              </w:rPr>
              <w:t xml:space="preserve">Termination </w:t>
            </w:r>
            <w:r w:rsidR="00BB6AB6">
              <w:rPr>
                <w:rFonts w:cs="Arial"/>
                <w:sz w:val="22"/>
                <w:szCs w:val="22"/>
              </w:rPr>
              <w:t>g</w:t>
            </w:r>
            <w:r w:rsidRPr="00564D60">
              <w:rPr>
                <w:rFonts w:cs="Arial"/>
                <w:sz w:val="22"/>
                <w:szCs w:val="22"/>
              </w:rPr>
              <w:t>round</w:t>
            </w:r>
          </w:p>
        </w:tc>
        <w:tc>
          <w:tcPr>
            <w:tcW w:w="4195" w:type="dxa"/>
            <w:gridSpan w:val="2"/>
          </w:tcPr>
          <w:p w14:paraId="2819F430" w14:textId="5A441502" w:rsidR="00053BA5" w:rsidRPr="00564D60" w:rsidRDefault="00053BA5" w:rsidP="0019309F">
            <w:pPr>
              <w:spacing w:before="60" w:after="60" w:line="240" w:lineRule="auto"/>
              <w:cnfStyle w:val="100000000000" w:firstRow="1" w:lastRow="0" w:firstColumn="0" w:lastColumn="0" w:oddVBand="0" w:evenVBand="0" w:oddHBand="0" w:evenHBand="0" w:firstRowFirstColumn="0" w:firstRowLastColumn="0" w:lastRowFirstColumn="0" w:lastRowLastColumn="0"/>
              <w:rPr>
                <w:rFonts w:cs="Arial"/>
                <w:b w:val="0"/>
                <w:bCs w:val="0"/>
                <w:color w:val="auto"/>
                <w:sz w:val="22"/>
                <w:szCs w:val="22"/>
              </w:rPr>
            </w:pPr>
            <w:r w:rsidRPr="00564D60">
              <w:rPr>
                <w:rFonts w:cs="Arial"/>
                <w:sz w:val="22"/>
                <w:szCs w:val="22"/>
              </w:rPr>
              <w:t xml:space="preserve">Who can </w:t>
            </w:r>
            <w:r w:rsidR="00BB6AB6">
              <w:rPr>
                <w:rFonts w:cs="Arial"/>
                <w:sz w:val="22"/>
                <w:szCs w:val="22"/>
              </w:rPr>
              <w:t>t</w:t>
            </w:r>
            <w:r w:rsidRPr="00564D60">
              <w:rPr>
                <w:rFonts w:cs="Arial"/>
                <w:sz w:val="22"/>
                <w:szCs w:val="22"/>
              </w:rPr>
              <w:t>erminate</w:t>
            </w:r>
          </w:p>
        </w:tc>
      </w:tr>
      <w:tr w:rsidR="00053BA5" w:rsidRPr="006D3E33" w14:paraId="3E77EC34" w14:textId="77777777" w:rsidTr="00232F70">
        <w:trPr>
          <w:cnfStyle w:val="000000100000" w:firstRow="0" w:lastRow="0" w:firstColumn="0" w:lastColumn="0" w:oddVBand="0" w:evenVBand="0" w:oddHBand="1" w:evenHBand="0" w:firstRowFirstColumn="0" w:firstRowLastColumn="0" w:lastRowFirstColumn="0" w:lastRowLastColumn="0"/>
          <w:trHeight w:val="30"/>
        </w:trPr>
        <w:tc>
          <w:tcPr>
            <w:cnfStyle w:val="001000000000" w:firstRow="0" w:lastRow="0" w:firstColumn="1" w:lastColumn="0" w:oddVBand="0" w:evenVBand="0" w:oddHBand="0" w:evenHBand="0" w:firstRowFirstColumn="0" w:firstRowLastColumn="0" w:lastRowFirstColumn="0" w:lastRowLastColumn="0"/>
            <w:tcW w:w="4815" w:type="dxa"/>
            <w:vMerge/>
          </w:tcPr>
          <w:p w14:paraId="1BBFB164" w14:textId="77777777" w:rsidR="00053BA5" w:rsidRPr="00564D60" w:rsidRDefault="00053BA5" w:rsidP="0019309F">
            <w:pPr>
              <w:spacing w:before="60" w:after="60" w:line="240" w:lineRule="auto"/>
              <w:rPr>
                <w:rFonts w:cs="Arial"/>
                <w:b w:val="0"/>
                <w:bCs w:val="0"/>
                <w:color w:val="auto"/>
                <w:sz w:val="22"/>
                <w:szCs w:val="22"/>
              </w:rPr>
            </w:pPr>
          </w:p>
        </w:tc>
        <w:tc>
          <w:tcPr>
            <w:tcW w:w="2268" w:type="dxa"/>
          </w:tcPr>
          <w:p w14:paraId="24050C2B" w14:textId="77777777" w:rsidR="00053BA5" w:rsidRPr="00564D60" w:rsidRDefault="00053BA5" w:rsidP="0019309F">
            <w:pPr>
              <w:spacing w:before="60" w:after="60" w:line="240" w:lineRule="auto"/>
              <w:cnfStyle w:val="000000100000" w:firstRow="0" w:lastRow="0" w:firstColumn="0" w:lastColumn="0" w:oddVBand="0" w:evenVBand="0" w:oddHBand="1" w:evenHBand="0" w:firstRowFirstColumn="0" w:firstRowLastColumn="0" w:lastRowFirstColumn="0" w:lastRowLastColumn="0"/>
              <w:rPr>
                <w:rFonts w:cs="Arial"/>
                <w:color w:val="auto"/>
                <w:sz w:val="22"/>
                <w:szCs w:val="22"/>
              </w:rPr>
            </w:pPr>
            <w:r w:rsidRPr="00564D60">
              <w:rPr>
                <w:rFonts w:cs="Arial"/>
                <w:sz w:val="22"/>
                <w:szCs w:val="22"/>
              </w:rPr>
              <w:t>Operator</w:t>
            </w:r>
          </w:p>
        </w:tc>
        <w:tc>
          <w:tcPr>
            <w:tcW w:w="1927" w:type="dxa"/>
          </w:tcPr>
          <w:p w14:paraId="70B081FE" w14:textId="77777777" w:rsidR="00053BA5" w:rsidRPr="00564D60" w:rsidRDefault="00053BA5" w:rsidP="0019309F">
            <w:pPr>
              <w:spacing w:before="60" w:after="60" w:line="240" w:lineRule="auto"/>
              <w:cnfStyle w:val="000000100000" w:firstRow="0" w:lastRow="0" w:firstColumn="0" w:lastColumn="0" w:oddVBand="0" w:evenVBand="0" w:oddHBand="1" w:evenHBand="0" w:firstRowFirstColumn="0" w:firstRowLastColumn="0" w:lastRowFirstColumn="0" w:lastRowLastColumn="0"/>
              <w:rPr>
                <w:rFonts w:cs="Arial"/>
                <w:color w:val="auto"/>
                <w:sz w:val="22"/>
                <w:szCs w:val="22"/>
              </w:rPr>
            </w:pPr>
            <w:r w:rsidRPr="00564D60">
              <w:rPr>
                <w:rFonts w:cs="Arial"/>
                <w:sz w:val="22"/>
                <w:szCs w:val="22"/>
              </w:rPr>
              <w:t>Tenant</w:t>
            </w:r>
          </w:p>
        </w:tc>
      </w:tr>
      <w:tr w:rsidR="00053BA5" w:rsidRPr="00C95950" w14:paraId="52F3986E" w14:textId="77777777" w:rsidTr="00232F70">
        <w:tc>
          <w:tcPr>
            <w:cnfStyle w:val="001000000000" w:firstRow="0" w:lastRow="0" w:firstColumn="1" w:lastColumn="0" w:oddVBand="0" w:evenVBand="0" w:oddHBand="0" w:evenHBand="0" w:firstRowFirstColumn="0" w:firstRowLastColumn="0" w:lastRowFirstColumn="0" w:lastRowLastColumn="0"/>
            <w:tcW w:w="4815" w:type="dxa"/>
          </w:tcPr>
          <w:p w14:paraId="19AD5558" w14:textId="77777777" w:rsidR="00053BA5" w:rsidRPr="00C95950" w:rsidRDefault="00053BA5" w:rsidP="0019309F">
            <w:pPr>
              <w:spacing w:before="60" w:after="60" w:line="240" w:lineRule="auto"/>
              <w:rPr>
                <w:rFonts w:cs="Arial"/>
                <w:b w:val="0"/>
                <w:bCs w:val="0"/>
                <w:color w:val="auto"/>
                <w:sz w:val="22"/>
                <w:szCs w:val="22"/>
              </w:rPr>
            </w:pPr>
            <w:r w:rsidRPr="00C95950">
              <w:rPr>
                <w:rFonts w:cs="Arial"/>
                <w:sz w:val="22"/>
                <w:szCs w:val="22"/>
              </w:rPr>
              <w:t>Non-payment of rent</w:t>
            </w:r>
          </w:p>
        </w:tc>
        <w:tc>
          <w:tcPr>
            <w:tcW w:w="2268" w:type="dxa"/>
          </w:tcPr>
          <w:p w14:paraId="29AFCB44" w14:textId="77777777" w:rsidR="00053BA5" w:rsidRPr="00D936A7" w:rsidRDefault="00053BA5" w:rsidP="0019309F">
            <w:pPr>
              <w:spacing w:before="60" w:after="60" w:line="240" w:lineRule="auto"/>
              <w:cnfStyle w:val="000000000000" w:firstRow="0" w:lastRow="0" w:firstColumn="0" w:lastColumn="0" w:oddVBand="0" w:evenVBand="0" w:oddHBand="0" w:evenHBand="0" w:firstRowFirstColumn="0" w:firstRowLastColumn="0" w:lastRowFirstColumn="0" w:lastRowLastColumn="0"/>
              <w:rPr>
                <w:rFonts w:cs="Arial"/>
                <w:color w:val="auto"/>
                <w:sz w:val="22"/>
                <w:szCs w:val="22"/>
              </w:rPr>
            </w:pPr>
            <w:r w:rsidRPr="00D936A7">
              <w:rPr>
                <w:rFonts w:ascii="Segoe UI Symbol" w:hAnsi="Segoe UI Symbol" w:cs="Segoe UI Symbol"/>
                <w:sz w:val="22"/>
                <w:szCs w:val="22"/>
              </w:rPr>
              <w:t>✓</w:t>
            </w:r>
          </w:p>
        </w:tc>
        <w:tc>
          <w:tcPr>
            <w:tcW w:w="1927" w:type="dxa"/>
          </w:tcPr>
          <w:p w14:paraId="5815AF51" w14:textId="77777777" w:rsidR="00053BA5" w:rsidRPr="00C95950" w:rsidRDefault="00053BA5" w:rsidP="0019309F">
            <w:pPr>
              <w:spacing w:before="60" w:after="60" w:line="240" w:lineRule="auto"/>
              <w:cnfStyle w:val="000000000000" w:firstRow="0" w:lastRow="0" w:firstColumn="0" w:lastColumn="0" w:oddVBand="0" w:evenVBand="0" w:oddHBand="0" w:evenHBand="0" w:firstRowFirstColumn="0" w:firstRowLastColumn="0" w:lastRowFirstColumn="0" w:lastRowLastColumn="0"/>
              <w:rPr>
                <w:rFonts w:cs="Arial"/>
                <w:color w:val="auto"/>
                <w:sz w:val="22"/>
                <w:szCs w:val="22"/>
              </w:rPr>
            </w:pPr>
          </w:p>
        </w:tc>
      </w:tr>
      <w:tr w:rsidR="00053BA5" w:rsidRPr="00C95950" w14:paraId="3534256F" w14:textId="77777777" w:rsidTr="00232F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tcPr>
          <w:p w14:paraId="662BA447" w14:textId="77777777" w:rsidR="00053BA5" w:rsidRPr="00C95950" w:rsidRDefault="00053BA5" w:rsidP="0019309F">
            <w:pPr>
              <w:spacing w:before="60" w:after="60" w:line="240" w:lineRule="auto"/>
              <w:rPr>
                <w:rFonts w:cs="Arial"/>
                <w:b w:val="0"/>
                <w:bCs w:val="0"/>
                <w:color w:val="auto"/>
                <w:sz w:val="22"/>
                <w:szCs w:val="22"/>
              </w:rPr>
            </w:pPr>
            <w:r w:rsidRPr="00C95950">
              <w:rPr>
                <w:rFonts w:cs="Arial"/>
                <w:sz w:val="22"/>
                <w:szCs w:val="22"/>
              </w:rPr>
              <w:t>Breach of agreement</w:t>
            </w:r>
          </w:p>
        </w:tc>
        <w:tc>
          <w:tcPr>
            <w:tcW w:w="2268" w:type="dxa"/>
          </w:tcPr>
          <w:p w14:paraId="334A1C59" w14:textId="77777777" w:rsidR="00053BA5" w:rsidRPr="00D936A7" w:rsidRDefault="00053BA5" w:rsidP="0019309F">
            <w:pPr>
              <w:spacing w:before="60" w:after="60" w:line="240" w:lineRule="auto"/>
              <w:cnfStyle w:val="000000100000" w:firstRow="0" w:lastRow="0" w:firstColumn="0" w:lastColumn="0" w:oddVBand="0" w:evenVBand="0" w:oddHBand="1" w:evenHBand="0" w:firstRowFirstColumn="0" w:firstRowLastColumn="0" w:lastRowFirstColumn="0" w:lastRowLastColumn="0"/>
              <w:rPr>
                <w:rFonts w:cs="Arial"/>
                <w:color w:val="auto"/>
                <w:sz w:val="22"/>
                <w:szCs w:val="22"/>
              </w:rPr>
            </w:pPr>
            <w:r w:rsidRPr="00D936A7">
              <w:rPr>
                <w:rFonts w:ascii="Segoe UI Symbol" w:hAnsi="Segoe UI Symbol" w:cs="Segoe UI Symbol"/>
                <w:sz w:val="22"/>
                <w:szCs w:val="22"/>
              </w:rPr>
              <w:t>✓</w:t>
            </w:r>
          </w:p>
        </w:tc>
        <w:tc>
          <w:tcPr>
            <w:tcW w:w="1927" w:type="dxa"/>
          </w:tcPr>
          <w:p w14:paraId="3D2E5308" w14:textId="77777777" w:rsidR="00053BA5" w:rsidRPr="00D936A7" w:rsidRDefault="00053BA5" w:rsidP="0019309F">
            <w:pPr>
              <w:spacing w:before="60" w:after="60" w:line="240" w:lineRule="auto"/>
              <w:cnfStyle w:val="000000100000" w:firstRow="0" w:lastRow="0" w:firstColumn="0" w:lastColumn="0" w:oddVBand="0" w:evenVBand="0" w:oddHBand="1" w:evenHBand="0" w:firstRowFirstColumn="0" w:firstRowLastColumn="0" w:lastRowFirstColumn="0" w:lastRowLastColumn="0"/>
              <w:rPr>
                <w:rFonts w:cs="Arial"/>
                <w:color w:val="auto"/>
                <w:sz w:val="22"/>
                <w:szCs w:val="22"/>
              </w:rPr>
            </w:pPr>
            <w:r w:rsidRPr="00D936A7">
              <w:rPr>
                <w:rFonts w:ascii="Segoe UI Symbol" w:hAnsi="Segoe UI Symbol" w:cs="Segoe UI Symbol"/>
                <w:sz w:val="22"/>
                <w:szCs w:val="22"/>
              </w:rPr>
              <w:t>✓</w:t>
            </w:r>
          </w:p>
        </w:tc>
      </w:tr>
      <w:tr w:rsidR="00053BA5" w:rsidRPr="00C95950" w14:paraId="5E23B727" w14:textId="77777777" w:rsidTr="00232F70">
        <w:tc>
          <w:tcPr>
            <w:cnfStyle w:val="001000000000" w:firstRow="0" w:lastRow="0" w:firstColumn="1" w:lastColumn="0" w:oddVBand="0" w:evenVBand="0" w:oddHBand="0" w:evenHBand="0" w:firstRowFirstColumn="0" w:firstRowLastColumn="0" w:lastRowFirstColumn="0" w:lastRowLastColumn="0"/>
            <w:tcW w:w="4815" w:type="dxa"/>
          </w:tcPr>
          <w:p w14:paraId="2C8CF0C3" w14:textId="77777777" w:rsidR="00053BA5" w:rsidRPr="00C95950" w:rsidRDefault="00053BA5" w:rsidP="0019309F">
            <w:pPr>
              <w:spacing w:before="60" w:after="60" w:line="240" w:lineRule="auto"/>
              <w:rPr>
                <w:rFonts w:cs="Arial"/>
                <w:b w:val="0"/>
                <w:bCs w:val="0"/>
                <w:color w:val="auto"/>
                <w:sz w:val="22"/>
                <w:szCs w:val="22"/>
              </w:rPr>
            </w:pPr>
            <w:r w:rsidRPr="00C95950">
              <w:rPr>
                <w:rFonts w:cs="Arial"/>
                <w:sz w:val="22"/>
                <w:szCs w:val="22"/>
              </w:rPr>
              <w:t>Sale of park that requires vacant possession</w:t>
            </w:r>
          </w:p>
        </w:tc>
        <w:tc>
          <w:tcPr>
            <w:tcW w:w="2268" w:type="dxa"/>
          </w:tcPr>
          <w:p w14:paraId="35FD2FB9" w14:textId="77777777" w:rsidR="00053BA5" w:rsidRPr="00D936A7" w:rsidRDefault="00053BA5" w:rsidP="0019309F">
            <w:pPr>
              <w:spacing w:before="60" w:after="60" w:line="240" w:lineRule="auto"/>
              <w:cnfStyle w:val="000000000000" w:firstRow="0" w:lastRow="0" w:firstColumn="0" w:lastColumn="0" w:oddVBand="0" w:evenVBand="0" w:oddHBand="0" w:evenHBand="0" w:firstRowFirstColumn="0" w:firstRowLastColumn="0" w:lastRowFirstColumn="0" w:lastRowLastColumn="0"/>
              <w:rPr>
                <w:rFonts w:cs="Arial"/>
                <w:color w:val="auto"/>
                <w:sz w:val="22"/>
                <w:szCs w:val="22"/>
              </w:rPr>
            </w:pPr>
            <w:r w:rsidRPr="00D936A7">
              <w:rPr>
                <w:rFonts w:ascii="Segoe UI Symbol" w:hAnsi="Segoe UI Symbol" w:cs="Segoe UI Symbol"/>
                <w:sz w:val="22"/>
                <w:szCs w:val="22"/>
              </w:rPr>
              <w:t>✓</w:t>
            </w:r>
          </w:p>
        </w:tc>
        <w:tc>
          <w:tcPr>
            <w:tcW w:w="1927" w:type="dxa"/>
          </w:tcPr>
          <w:p w14:paraId="4D1C9F9A" w14:textId="77777777" w:rsidR="00053BA5" w:rsidRPr="00D936A7" w:rsidRDefault="00053BA5" w:rsidP="0019309F">
            <w:pPr>
              <w:spacing w:before="60" w:after="60" w:line="240" w:lineRule="auto"/>
              <w:cnfStyle w:val="000000000000" w:firstRow="0" w:lastRow="0" w:firstColumn="0" w:lastColumn="0" w:oddVBand="0" w:evenVBand="0" w:oddHBand="0" w:evenHBand="0" w:firstRowFirstColumn="0" w:firstRowLastColumn="0" w:lastRowFirstColumn="0" w:lastRowLastColumn="0"/>
              <w:rPr>
                <w:rFonts w:cs="Arial"/>
                <w:color w:val="auto"/>
                <w:sz w:val="22"/>
                <w:szCs w:val="22"/>
              </w:rPr>
            </w:pPr>
          </w:p>
        </w:tc>
      </w:tr>
      <w:tr w:rsidR="00053BA5" w:rsidRPr="00C95950" w14:paraId="60A00429" w14:textId="77777777" w:rsidTr="00232F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tcPr>
          <w:p w14:paraId="1B3635B4" w14:textId="77777777" w:rsidR="00053BA5" w:rsidRPr="00C95950" w:rsidRDefault="00053BA5" w:rsidP="0019309F">
            <w:pPr>
              <w:spacing w:before="60" w:after="60" w:line="240" w:lineRule="auto"/>
              <w:rPr>
                <w:rFonts w:cs="Arial"/>
                <w:b w:val="0"/>
                <w:bCs w:val="0"/>
                <w:color w:val="auto"/>
                <w:sz w:val="22"/>
                <w:szCs w:val="22"/>
              </w:rPr>
            </w:pPr>
            <w:r w:rsidRPr="00C95950">
              <w:rPr>
                <w:rFonts w:cs="Arial"/>
                <w:sz w:val="22"/>
                <w:szCs w:val="22"/>
              </w:rPr>
              <w:t>Park to be closed or used for a purpose other than residential park</w:t>
            </w:r>
          </w:p>
        </w:tc>
        <w:tc>
          <w:tcPr>
            <w:tcW w:w="2268" w:type="dxa"/>
          </w:tcPr>
          <w:p w14:paraId="09B6E866" w14:textId="77777777" w:rsidR="00053BA5" w:rsidRPr="00D936A7" w:rsidRDefault="00053BA5" w:rsidP="0019309F">
            <w:pPr>
              <w:spacing w:before="60" w:after="60" w:line="240" w:lineRule="auto"/>
              <w:cnfStyle w:val="000000100000" w:firstRow="0" w:lastRow="0" w:firstColumn="0" w:lastColumn="0" w:oddVBand="0" w:evenVBand="0" w:oddHBand="1" w:evenHBand="0" w:firstRowFirstColumn="0" w:firstRowLastColumn="0" w:lastRowFirstColumn="0" w:lastRowLastColumn="0"/>
              <w:rPr>
                <w:rFonts w:cs="Arial"/>
                <w:color w:val="auto"/>
                <w:sz w:val="22"/>
                <w:szCs w:val="22"/>
              </w:rPr>
            </w:pPr>
            <w:r w:rsidRPr="00D936A7">
              <w:rPr>
                <w:rFonts w:ascii="Segoe UI Symbol" w:hAnsi="Segoe UI Symbol" w:cs="Segoe UI Symbol"/>
                <w:sz w:val="22"/>
                <w:szCs w:val="22"/>
              </w:rPr>
              <w:t>✓</w:t>
            </w:r>
          </w:p>
        </w:tc>
        <w:tc>
          <w:tcPr>
            <w:tcW w:w="1927" w:type="dxa"/>
          </w:tcPr>
          <w:p w14:paraId="48FE58C3" w14:textId="77777777" w:rsidR="00053BA5" w:rsidRPr="00D936A7" w:rsidRDefault="00053BA5" w:rsidP="0019309F">
            <w:pPr>
              <w:spacing w:before="60" w:after="60" w:line="240" w:lineRule="auto"/>
              <w:cnfStyle w:val="000000100000" w:firstRow="0" w:lastRow="0" w:firstColumn="0" w:lastColumn="0" w:oddVBand="0" w:evenVBand="0" w:oddHBand="1" w:evenHBand="0" w:firstRowFirstColumn="0" w:firstRowLastColumn="0" w:lastRowFirstColumn="0" w:lastRowLastColumn="0"/>
              <w:rPr>
                <w:rFonts w:cs="Arial"/>
                <w:color w:val="auto"/>
                <w:sz w:val="22"/>
                <w:szCs w:val="22"/>
              </w:rPr>
            </w:pPr>
          </w:p>
        </w:tc>
      </w:tr>
      <w:tr w:rsidR="00053BA5" w:rsidRPr="00C95950" w14:paraId="23659765" w14:textId="77777777" w:rsidTr="00232F70">
        <w:tc>
          <w:tcPr>
            <w:cnfStyle w:val="001000000000" w:firstRow="0" w:lastRow="0" w:firstColumn="1" w:lastColumn="0" w:oddVBand="0" w:evenVBand="0" w:oddHBand="0" w:evenHBand="0" w:firstRowFirstColumn="0" w:firstRowLastColumn="0" w:lastRowFirstColumn="0" w:lastRowLastColumn="0"/>
            <w:tcW w:w="4815" w:type="dxa"/>
          </w:tcPr>
          <w:p w14:paraId="75CC7222" w14:textId="77777777" w:rsidR="00053BA5" w:rsidRPr="00C95950" w:rsidRDefault="00053BA5" w:rsidP="0019309F">
            <w:pPr>
              <w:spacing w:before="60" w:after="60" w:line="240" w:lineRule="auto"/>
              <w:rPr>
                <w:rFonts w:cs="Arial"/>
                <w:b w:val="0"/>
                <w:bCs w:val="0"/>
                <w:color w:val="auto"/>
                <w:sz w:val="22"/>
                <w:szCs w:val="22"/>
              </w:rPr>
            </w:pPr>
            <w:r w:rsidRPr="00C95950">
              <w:rPr>
                <w:rFonts w:cs="Arial"/>
                <w:sz w:val="22"/>
                <w:szCs w:val="22"/>
              </w:rPr>
              <w:t>Works required at long-stay tenant’s site</w:t>
            </w:r>
          </w:p>
        </w:tc>
        <w:tc>
          <w:tcPr>
            <w:tcW w:w="2268" w:type="dxa"/>
          </w:tcPr>
          <w:p w14:paraId="3F436901" w14:textId="77777777" w:rsidR="00053BA5" w:rsidRPr="00D936A7" w:rsidRDefault="00053BA5" w:rsidP="0019309F">
            <w:pPr>
              <w:spacing w:before="60" w:after="60" w:line="240" w:lineRule="auto"/>
              <w:cnfStyle w:val="000000000000" w:firstRow="0" w:lastRow="0" w:firstColumn="0" w:lastColumn="0" w:oddVBand="0" w:evenVBand="0" w:oddHBand="0" w:evenHBand="0" w:firstRowFirstColumn="0" w:firstRowLastColumn="0" w:lastRowFirstColumn="0" w:lastRowLastColumn="0"/>
              <w:rPr>
                <w:rFonts w:cs="Arial"/>
                <w:color w:val="auto"/>
                <w:sz w:val="22"/>
                <w:szCs w:val="22"/>
              </w:rPr>
            </w:pPr>
            <w:r w:rsidRPr="00D936A7">
              <w:rPr>
                <w:rFonts w:ascii="Segoe UI Symbol" w:hAnsi="Segoe UI Symbol" w:cs="Segoe UI Symbol"/>
                <w:sz w:val="22"/>
                <w:szCs w:val="22"/>
              </w:rPr>
              <w:t>✓</w:t>
            </w:r>
          </w:p>
        </w:tc>
        <w:tc>
          <w:tcPr>
            <w:tcW w:w="1927" w:type="dxa"/>
          </w:tcPr>
          <w:p w14:paraId="18201F83" w14:textId="77777777" w:rsidR="00053BA5" w:rsidRPr="00D936A7" w:rsidRDefault="00053BA5" w:rsidP="0019309F">
            <w:pPr>
              <w:spacing w:before="60" w:after="60" w:line="240" w:lineRule="auto"/>
              <w:cnfStyle w:val="000000000000" w:firstRow="0" w:lastRow="0" w:firstColumn="0" w:lastColumn="0" w:oddVBand="0" w:evenVBand="0" w:oddHBand="0" w:evenHBand="0" w:firstRowFirstColumn="0" w:firstRowLastColumn="0" w:lastRowFirstColumn="0" w:lastRowLastColumn="0"/>
              <w:rPr>
                <w:rFonts w:cs="Arial"/>
                <w:color w:val="auto"/>
                <w:sz w:val="22"/>
                <w:szCs w:val="22"/>
              </w:rPr>
            </w:pPr>
          </w:p>
        </w:tc>
      </w:tr>
      <w:tr w:rsidR="00053BA5" w:rsidRPr="00C95950" w14:paraId="4D6CB941" w14:textId="77777777" w:rsidTr="00232F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tcPr>
          <w:p w14:paraId="0B6DB704" w14:textId="77777777" w:rsidR="00053BA5" w:rsidRPr="00C95950" w:rsidRDefault="00053BA5" w:rsidP="0019309F">
            <w:pPr>
              <w:spacing w:before="60" w:after="60" w:line="240" w:lineRule="auto"/>
              <w:rPr>
                <w:rFonts w:cs="Arial"/>
                <w:b w:val="0"/>
                <w:bCs w:val="0"/>
                <w:color w:val="auto"/>
                <w:sz w:val="22"/>
                <w:szCs w:val="22"/>
              </w:rPr>
            </w:pPr>
            <w:r w:rsidRPr="00C95950">
              <w:rPr>
                <w:rFonts w:cs="Arial"/>
                <w:sz w:val="22"/>
                <w:szCs w:val="22"/>
              </w:rPr>
              <w:t>Site intended to be used by operator for other purpose e.g. holiday accommodation</w:t>
            </w:r>
          </w:p>
        </w:tc>
        <w:tc>
          <w:tcPr>
            <w:tcW w:w="2268" w:type="dxa"/>
          </w:tcPr>
          <w:p w14:paraId="0B12C636" w14:textId="77777777" w:rsidR="00053BA5" w:rsidRPr="00D936A7" w:rsidRDefault="00053BA5" w:rsidP="0019309F">
            <w:pPr>
              <w:spacing w:before="60" w:after="60" w:line="240" w:lineRule="auto"/>
              <w:cnfStyle w:val="000000100000" w:firstRow="0" w:lastRow="0" w:firstColumn="0" w:lastColumn="0" w:oddVBand="0" w:evenVBand="0" w:oddHBand="1" w:evenHBand="0" w:firstRowFirstColumn="0" w:firstRowLastColumn="0" w:lastRowFirstColumn="0" w:lastRowLastColumn="0"/>
              <w:rPr>
                <w:rFonts w:cs="Arial"/>
                <w:color w:val="auto"/>
                <w:sz w:val="22"/>
                <w:szCs w:val="22"/>
              </w:rPr>
            </w:pPr>
            <w:r w:rsidRPr="00D936A7">
              <w:rPr>
                <w:rFonts w:ascii="Segoe UI Symbol" w:hAnsi="Segoe UI Symbol" w:cs="Segoe UI Symbol"/>
                <w:sz w:val="22"/>
                <w:szCs w:val="22"/>
              </w:rPr>
              <w:t>✓</w:t>
            </w:r>
          </w:p>
        </w:tc>
        <w:tc>
          <w:tcPr>
            <w:tcW w:w="1927" w:type="dxa"/>
          </w:tcPr>
          <w:p w14:paraId="6A4AAA1B" w14:textId="77777777" w:rsidR="00053BA5" w:rsidRPr="00D936A7" w:rsidRDefault="00053BA5" w:rsidP="0019309F">
            <w:pPr>
              <w:spacing w:before="60" w:after="60" w:line="240" w:lineRule="auto"/>
              <w:cnfStyle w:val="000000100000" w:firstRow="0" w:lastRow="0" w:firstColumn="0" w:lastColumn="0" w:oddVBand="0" w:evenVBand="0" w:oddHBand="1" w:evenHBand="0" w:firstRowFirstColumn="0" w:firstRowLastColumn="0" w:lastRowFirstColumn="0" w:lastRowLastColumn="0"/>
              <w:rPr>
                <w:rFonts w:cs="Arial"/>
                <w:color w:val="auto"/>
                <w:sz w:val="22"/>
                <w:szCs w:val="22"/>
              </w:rPr>
            </w:pPr>
          </w:p>
        </w:tc>
      </w:tr>
      <w:tr w:rsidR="00053BA5" w:rsidRPr="00C95950" w14:paraId="7AE2AAEF" w14:textId="77777777" w:rsidTr="00232F70">
        <w:tc>
          <w:tcPr>
            <w:cnfStyle w:val="001000000000" w:firstRow="0" w:lastRow="0" w:firstColumn="1" w:lastColumn="0" w:oddVBand="0" w:evenVBand="0" w:oddHBand="0" w:evenHBand="0" w:firstRowFirstColumn="0" w:firstRowLastColumn="0" w:lastRowFirstColumn="0" w:lastRowLastColumn="0"/>
            <w:tcW w:w="4815" w:type="dxa"/>
          </w:tcPr>
          <w:p w14:paraId="5F0BDE95" w14:textId="77777777" w:rsidR="00053BA5" w:rsidRPr="00C95950" w:rsidRDefault="00053BA5" w:rsidP="0019309F">
            <w:pPr>
              <w:spacing w:before="60" w:after="60" w:line="240" w:lineRule="auto"/>
              <w:rPr>
                <w:rFonts w:cs="Arial"/>
                <w:b w:val="0"/>
                <w:bCs w:val="0"/>
                <w:color w:val="auto"/>
                <w:sz w:val="22"/>
                <w:szCs w:val="22"/>
              </w:rPr>
            </w:pPr>
            <w:r w:rsidRPr="00C95950">
              <w:rPr>
                <w:rFonts w:cs="Arial"/>
                <w:sz w:val="22"/>
                <w:szCs w:val="22"/>
              </w:rPr>
              <w:t xml:space="preserve">Without grounds </w:t>
            </w:r>
          </w:p>
        </w:tc>
        <w:tc>
          <w:tcPr>
            <w:tcW w:w="2268" w:type="dxa"/>
          </w:tcPr>
          <w:p w14:paraId="6566F083" w14:textId="77777777" w:rsidR="00053BA5" w:rsidRPr="00C95950" w:rsidRDefault="00053BA5" w:rsidP="0019309F">
            <w:pPr>
              <w:spacing w:before="60" w:after="60" w:line="240" w:lineRule="auto"/>
              <w:cnfStyle w:val="000000000000" w:firstRow="0" w:lastRow="0" w:firstColumn="0" w:lastColumn="0" w:oddVBand="0" w:evenVBand="0" w:oddHBand="0" w:evenHBand="0" w:firstRowFirstColumn="0" w:firstRowLastColumn="0" w:lastRowFirstColumn="0" w:lastRowLastColumn="0"/>
              <w:rPr>
                <w:rFonts w:cs="Arial"/>
                <w:color w:val="auto"/>
                <w:sz w:val="22"/>
                <w:szCs w:val="22"/>
              </w:rPr>
            </w:pPr>
            <w:r w:rsidRPr="00D936A7">
              <w:rPr>
                <w:rFonts w:ascii="Segoe UI Symbol" w:hAnsi="Segoe UI Symbol" w:cs="Segoe UI Symbol"/>
                <w:sz w:val="22"/>
                <w:szCs w:val="22"/>
              </w:rPr>
              <w:t>✓</w:t>
            </w:r>
            <w:r w:rsidRPr="00C95950">
              <w:rPr>
                <w:rFonts w:cs="Arial"/>
                <w:sz w:val="22"/>
                <w:szCs w:val="22"/>
              </w:rPr>
              <w:t xml:space="preserve"> (on-site home agreements only)</w:t>
            </w:r>
          </w:p>
        </w:tc>
        <w:tc>
          <w:tcPr>
            <w:tcW w:w="1927" w:type="dxa"/>
          </w:tcPr>
          <w:p w14:paraId="3925D17E" w14:textId="77777777" w:rsidR="00053BA5" w:rsidRPr="00D936A7" w:rsidRDefault="00053BA5" w:rsidP="0019309F">
            <w:pPr>
              <w:spacing w:before="60" w:after="60" w:line="240" w:lineRule="auto"/>
              <w:cnfStyle w:val="000000000000" w:firstRow="0" w:lastRow="0" w:firstColumn="0" w:lastColumn="0" w:oddVBand="0" w:evenVBand="0" w:oddHBand="0" w:evenHBand="0" w:firstRowFirstColumn="0" w:firstRowLastColumn="0" w:lastRowFirstColumn="0" w:lastRowLastColumn="0"/>
              <w:rPr>
                <w:rFonts w:cs="Arial"/>
                <w:color w:val="auto"/>
                <w:sz w:val="22"/>
                <w:szCs w:val="22"/>
              </w:rPr>
            </w:pPr>
            <w:r w:rsidRPr="00D936A7">
              <w:rPr>
                <w:rFonts w:ascii="Segoe UI Symbol" w:hAnsi="Segoe UI Symbol" w:cs="Segoe UI Symbol"/>
                <w:sz w:val="22"/>
                <w:szCs w:val="22"/>
              </w:rPr>
              <w:t>✓</w:t>
            </w:r>
          </w:p>
        </w:tc>
      </w:tr>
      <w:tr w:rsidR="00053BA5" w:rsidRPr="00C95950" w14:paraId="7B17A033" w14:textId="77777777" w:rsidTr="00232F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tcPr>
          <w:p w14:paraId="64C47CB2" w14:textId="77777777" w:rsidR="00053BA5" w:rsidRPr="00C95950" w:rsidRDefault="00053BA5" w:rsidP="0019309F">
            <w:pPr>
              <w:spacing w:before="60" w:after="60" w:line="240" w:lineRule="auto"/>
              <w:rPr>
                <w:rFonts w:cs="Arial"/>
                <w:b w:val="0"/>
                <w:bCs w:val="0"/>
                <w:color w:val="auto"/>
                <w:sz w:val="22"/>
                <w:szCs w:val="22"/>
              </w:rPr>
            </w:pPr>
            <w:r w:rsidRPr="00C95950">
              <w:rPr>
                <w:rFonts w:cs="Arial"/>
                <w:sz w:val="22"/>
                <w:szCs w:val="22"/>
              </w:rPr>
              <w:t xml:space="preserve">Long-stay agreement is frustrated </w:t>
            </w:r>
          </w:p>
        </w:tc>
        <w:tc>
          <w:tcPr>
            <w:tcW w:w="2268" w:type="dxa"/>
          </w:tcPr>
          <w:p w14:paraId="60F0ABD4" w14:textId="77777777" w:rsidR="00053BA5" w:rsidRPr="00D936A7" w:rsidRDefault="00053BA5" w:rsidP="0019309F">
            <w:pPr>
              <w:spacing w:before="60" w:after="60" w:line="240" w:lineRule="auto"/>
              <w:cnfStyle w:val="000000100000" w:firstRow="0" w:lastRow="0" w:firstColumn="0" w:lastColumn="0" w:oddVBand="0" w:evenVBand="0" w:oddHBand="1" w:evenHBand="0" w:firstRowFirstColumn="0" w:firstRowLastColumn="0" w:lastRowFirstColumn="0" w:lastRowLastColumn="0"/>
              <w:rPr>
                <w:rFonts w:cs="Arial"/>
                <w:color w:val="auto"/>
                <w:sz w:val="22"/>
                <w:szCs w:val="22"/>
              </w:rPr>
            </w:pPr>
            <w:r w:rsidRPr="00D936A7">
              <w:rPr>
                <w:rFonts w:ascii="Segoe UI Symbol" w:hAnsi="Segoe UI Symbol" w:cs="Segoe UI Symbol"/>
                <w:sz w:val="22"/>
                <w:szCs w:val="22"/>
              </w:rPr>
              <w:t>✓</w:t>
            </w:r>
          </w:p>
        </w:tc>
        <w:tc>
          <w:tcPr>
            <w:tcW w:w="1927" w:type="dxa"/>
          </w:tcPr>
          <w:p w14:paraId="0BFCC4D4" w14:textId="77777777" w:rsidR="00053BA5" w:rsidRPr="00C95950" w:rsidRDefault="00053BA5" w:rsidP="0019309F">
            <w:pPr>
              <w:spacing w:before="60" w:after="60" w:line="240" w:lineRule="auto"/>
              <w:cnfStyle w:val="000000100000" w:firstRow="0" w:lastRow="0" w:firstColumn="0" w:lastColumn="0" w:oddVBand="0" w:evenVBand="0" w:oddHBand="1" w:evenHBand="0" w:firstRowFirstColumn="0" w:firstRowLastColumn="0" w:lastRowFirstColumn="0" w:lastRowLastColumn="0"/>
              <w:rPr>
                <w:rFonts w:cs="Arial"/>
                <w:color w:val="auto"/>
                <w:sz w:val="22"/>
                <w:szCs w:val="22"/>
              </w:rPr>
            </w:pPr>
            <w:r w:rsidRPr="00D936A7">
              <w:rPr>
                <w:rFonts w:ascii="Segoe UI Symbol" w:hAnsi="Segoe UI Symbol" w:cs="Segoe UI Symbol"/>
                <w:sz w:val="22"/>
                <w:szCs w:val="22"/>
              </w:rPr>
              <w:t>✓</w:t>
            </w:r>
          </w:p>
        </w:tc>
      </w:tr>
      <w:tr w:rsidR="00053BA5" w:rsidRPr="00C95950" w14:paraId="6151AEFB" w14:textId="77777777" w:rsidTr="00232F70">
        <w:tc>
          <w:tcPr>
            <w:cnfStyle w:val="001000000000" w:firstRow="0" w:lastRow="0" w:firstColumn="1" w:lastColumn="0" w:oddVBand="0" w:evenVBand="0" w:oddHBand="0" w:evenHBand="0" w:firstRowFirstColumn="0" w:firstRowLastColumn="0" w:lastRowFirstColumn="0" w:lastRowLastColumn="0"/>
            <w:tcW w:w="4815" w:type="dxa"/>
          </w:tcPr>
          <w:p w14:paraId="5469C4A7" w14:textId="77777777" w:rsidR="00053BA5" w:rsidRPr="00C95950" w:rsidRDefault="00053BA5" w:rsidP="0019309F">
            <w:pPr>
              <w:spacing w:before="60" w:after="60" w:line="240" w:lineRule="auto"/>
              <w:rPr>
                <w:rFonts w:cs="Arial"/>
                <w:b w:val="0"/>
                <w:bCs w:val="0"/>
                <w:color w:val="auto"/>
                <w:sz w:val="22"/>
                <w:szCs w:val="22"/>
              </w:rPr>
            </w:pPr>
            <w:r w:rsidRPr="00C95950">
              <w:rPr>
                <w:rFonts w:cs="Arial"/>
                <w:sz w:val="22"/>
                <w:szCs w:val="22"/>
              </w:rPr>
              <w:t>Premises abandoned by long-stay tenant</w:t>
            </w:r>
          </w:p>
        </w:tc>
        <w:tc>
          <w:tcPr>
            <w:tcW w:w="2268" w:type="dxa"/>
          </w:tcPr>
          <w:p w14:paraId="78AA2BE2" w14:textId="77777777" w:rsidR="00053BA5" w:rsidRPr="00D936A7" w:rsidRDefault="00053BA5" w:rsidP="0019309F">
            <w:pPr>
              <w:spacing w:before="60" w:after="60" w:line="240" w:lineRule="auto"/>
              <w:cnfStyle w:val="000000000000" w:firstRow="0" w:lastRow="0" w:firstColumn="0" w:lastColumn="0" w:oddVBand="0" w:evenVBand="0" w:oddHBand="0" w:evenHBand="0" w:firstRowFirstColumn="0" w:firstRowLastColumn="0" w:lastRowFirstColumn="0" w:lastRowLastColumn="0"/>
              <w:rPr>
                <w:rFonts w:cs="Arial"/>
                <w:color w:val="auto"/>
                <w:sz w:val="22"/>
                <w:szCs w:val="22"/>
              </w:rPr>
            </w:pPr>
            <w:r w:rsidRPr="00D936A7">
              <w:rPr>
                <w:rFonts w:ascii="Segoe UI Symbol" w:hAnsi="Segoe UI Symbol" w:cs="Segoe UI Symbol"/>
                <w:sz w:val="22"/>
                <w:szCs w:val="22"/>
              </w:rPr>
              <w:t>✓</w:t>
            </w:r>
          </w:p>
        </w:tc>
        <w:tc>
          <w:tcPr>
            <w:tcW w:w="1927" w:type="dxa"/>
          </w:tcPr>
          <w:p w14:paraId="3362688D" w14:textId="77777777" w:rsidR="00053BA5" w:rsidRPr="00C95950" w:rsidRDefault="00053BA5" w:rsidP="0019309F">
            <w:pPr>
              <w:spacing w:before="60" w:after="60" w:line="240" w:lineRule="auto"/>
              <w:cnfStyle w:val="000000000000" w:firstRow="0" w:lastRow="0" w:firstColumn="0" w:lastColumn="0" w:oddVBand="0" w:evenVBand="0" w:oddHBand="0" w:evenHBand="0" w:firstRowFirstColumn="0" w:firstRowLastColumn="0" w:lastRowFirstColumn="0" w:lastRowLastColumn="0"/>
              <w:rPr>
                <w:rFonts w:cs="Arial"/>
                <w:color w:val="auto"/>
                <w:sz w:val="22"/>
                <w:szCs w:val="22"/>
              </w:rPr>
            </w:pPr>
          </w:p>
        </w:tc>
      </w:tr>
      <w:tr w:rsidR="00053BA5" w:rsidRPr="00C95950" w14:paraId="732E87DE" w14:textId="77777777" w:rsidTr="00232F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tcPr>
          <w:p w14:paraId="15B2B126" w14:textId="7ED123B3" w:rsidR="00053BA5" w:rsidRPr="00C95950" w:rsidRDefault="00053BA5" w:rsidP="0019309F">
            <w:pPr>
              <w:spacing w:before="60" w:after="60" w:line="240" w:lineRule="auto"/>
              <w:rPr>
                <w:rFonts w:cs="Arial"/>
                <w:b w:val="0"/>
                <w:bCs w:val="0"/>
                <w:color w:val="auto"/>
                <w:sz w:val="22"/>
                <w:szCs w:val="22"/>
              </w:rPr>
            </w:pPr>
            <w:r w:rsidRPr="00C95950">
              <w:rPr>
                <w:rFonts w:cs="Arial"/>
                <w:sz w:val="22"/>
                <w:szCs w:val="22"/>
              </w:rPr>
              <w:t>Tenant causes serious damage to park premises or injury</w:t>
            </w:r>
            <w:r w:rsidR="00AD7914">
              <w:rPr>
                <w:rFonts w:cs="Arial"/>
                <w:sz w:val="22"/>
                <w:szCs w:val="22"/>
              </w:rPr>
              <w:t xml:space="preserve"> to park operator or person lawfully in park</w:t>
            </w:r>
          </w:p>
        </w:tc>
        <w:tc>
          <w:tcPr>
            <w:tcW w:w="2268" w:type="dxa"/>
          </w:tcPr>
          <w:p w14:paraId="0342A9BE" w14:textId="77777777" w:rsidR="00053BA5" w:rsidRPr="00D936A7" w:rsidRDefault="00053BA5" w:rsidP="0019309F">
            <w:pPr>
              <w:spacing w:before="60" w:after="60" w:line="240" w:lineRule="auto"/>
              <w:cnfStyle w:val="000000100000" w:firstRow="0" w:lastRow="0" w:firstColumn="0" w:lastColumn="0" w:oddVBand="0" w:evenVBand="0" w:oddHBand="1" w:evenHBand="0" w:firstRowFirstColumn="0" w:firstRowLastColumn="0" w:lastRowFirstColumn="0" w:lastRowLastColumn="0"/>
              <w:rPr>
                <w:rFonts w:cs="Arial"/>
                <w:color w:val="auto"/>
                <w:sz w:val="22"/>
                <w:szCs w:val="22"/>
              </w:rPr>
            </w:pPr>
            <w:r w:rsidRPr="00D936A7">
              <w:rPr>
                <w:rFonts w:ascii="Segoe UI Symbol" w:hAnsi="Segoe UI Symbol" w:cs="Segoe UI Symbol"/>
                <w:sz w:val="22"/>
                <w:szCs w:val="22"/>
              </w:rPr>
              <w:t>✓</w:t>
            </w:r>
          </w:p>
        </w:tc>
        <w:tc>
          <w:tcPr>
            <w:tcW w:w="1927" w:type="dxa"/>
          </w:tcPr>
          <w:p w14:paraId="2F769493" w14:textId="77777777" w:rsidR="00053BA5" w:rsidRPr="00C95950" w:rsidRDefault="00053BA5" w:rsidP="0019309F">
            <w:pPr>
              <w:spacing w:before="60" w:after="60" w:line="240" w:lineRule="auto"/>
              <w:cnfStyle w:val="000000100000" w:firstRow="0" w:lastRow="0" w:firstColumn="0" w:lastColumn="0" w:oddVBand="0" w:evenVBand="0" w:oddHBand="1" w:evenHBand="0" w:firstRowFirstColumn="0" w:firstRowLastColumn="0" w:lastRowFirstColumn="0" w:lastRowLastColumn="0"/>
              <w:rPr>
                <w:rFonts w:cs="Arial"/>
                <w:color w:val="auto"/>
                <w:sz w:val="22"/>
                <w:szCs w:val="22"/>
              </w:rPr>
            </w:pPr>
          </w:p>
        </w:tc>
      </w:tr>
      <w:tr w:rsidR="00053BA5" w:rsidRPr="00C95950" w14:paraId="4125F7CF" w14:textId="77777777" w:rsidTr="00232F70">
        <w:tc>
          <w:tcPr>
            <w:cnfStyle w:val="001000000000" w:firstRow="0" w:lastRow="0" w:firstColumn="1" w:lastColumn="0" w:oddVBand="0" w:evenVBand="0" w:oddHBand="0" w:evenHBand="0" w:firstRowFirstColumn="0" w:firstRowLastColumn="0" w:lastRowFirstColumn="0" w:lastRowLastColumn="0"/>
            <w:tcW w:w="4815" w:type="dxa"/>
          </w:tcPr>
          <w:p w14:paraId="5B1F56E5" w14:textId="77777777" w:rsidR="00053BA5" w:rsidRPr="00C95950" w:rsidRDefault="00053BA5" w:rsidP="0019309F">
            <w:pPr>
              <w:spacing w:before="60" w:after="60" w:line="240" w:lineRule="auto"/>
              <w:rPr>
                <w:rFonts w:cs="Arial"/>
                <w:b w:val="0"/>
                <w:bCs w:val="0"/>
                <w:color w:val="auto"/>
                <w:sz w:val="22"/>
                <w:szCs w:val="22"/>
              </w:rPr>
            </w:pPr>
            <w:r w:rsidRPr="00C95950">
              <w:rPr>
                <w:rFonts w:cs="Arial"/>
                <w:sz w:val="22"/>
                <w:szCs w:val="22"/>
              </w:rPr>
              <w:t>Tenant engages in serious misconduct or persistent threats or abuse to the park operator or employee</w:t>
            </w:r>
          </w:p>
        </w:tc>
        <w:tc>
          <w:tcPr>
            <w:tcW w:w="2268" w:type="dxa"/>
          </w:tcPr>
          <w:p w14:paraId="5C5563C9" w14:textId="77777777" w:rsidR="00053BA5" w:rsidRPr="00D936A7" w:rsidRDefault="00053BA5" w:rsidP="0019309F">
            <w:pPr>
              <w:spacing w:before="60" w:after="60" w:line="240" w:lineRule="auto"/>
              <w:cnfStyle w:val="000000000000" w:firstRow="0" w:lastRow="0" w:firstColumn="0" w:lastColumn="0" w:oddVBand="0" w:evenVBand="0" w:oddHBand="0" w:evenHBand="0" w:firstRowFirstColumn="0" w:firstRowLastColumn="0" w:lastRowFirstColumn="0" w:lastRowLastColumn="0"/>
              <w:rPr>
                <w:rFonts w:cs="Arial"/>
                <w:color w:val="auto"/>
                <w:sz w:val="22"/>
                <w:szCs w:val="22"/>
              </w:rPr>
            </w:pPr>
            <w:r w:rsidRPr="00D936A7">
              <w:rPr>
                <w:rFonts w:ascii="Segoe UI Symbol" w:hAnsi="Segoe UI Symbol" w:cs="Segoe UI Symbol"/>
                <w:sz w:val="22"/>
                <w:szCs w:val="22"/>
              </w:rPr>
              <w:t>✓</w:t>
            </w:r>
          </w:p>
        </w:tc>
        <w:tc>
          <w:tcPr>
            <w:tcW w:w="1927" w:type="dxa"/>
          </w:tcPr>
          <w:p w14:paraId="52E1F2A1" w14:textId="77777777" w:rsidR="00053BA5" w:rsidRPr="00C95950" w:rsidRDefault="00053BA5" w:rsidP="0019309F">
            <w:pPr>
              <w:spacing w:before="60" w:after="60" w:line="240" w:lineRule="auto"/>
              <w:cnfStyle w:val="000000000000" w:firstRow="0" w:lastRow="0" w:firstColumn="0" w:lastColumn="0" w:oddVBand="0" w:evenVBand="0" w:oddHBand="0" w:evenHBand="0" w:firstRowFirstColumn="0" w:firstRowLastColumn="0" w:lastRowFirstColumn="0" w:lastRowLastColumn="0"/>
              <w:rPr>
                <w:rFonts w:cs="Arial"/>
                <w:color w:val="auto"/>
                <w:sz w:val="22"/>
                <w:szCs w:val="22"/>
              </w:rPr>
            </w:pPr>
          </w:p>
        </w:tc>
      </w:tr>
      <w:tr w:rsidR="00053BA5" w:rsidRPr="00C95950" w14:paraId="5EFC3F37" w14:textId="77777777" w:rsidTr="00232F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tcPr>
          <w:p w14:paraId="68A09A90" w14:textId="77777777" w:rsidR="00053BA5" w:rsidRPr="00C95950" w:rsidRDefault="00053BA5" w:rsidP="0019309F">
            <w:pPr>
              <w:spacing w:before="60" w:after="60" w:line="240" w:lineRule="auto"/>
              <w:rPr>
                <w:rFonts w:cs="Arial"/>
                <w:b w:val="0"/>
                <w:bCs w:val="0"/>
                <w:color w:val="auto"/>
                <w:sz w:val="22"/>
                <w:szCs w:val="22"/>
              </w:rPr>
            </w:pPr>
            <w:r w:rsidRPr="00C95950">
              <w:rPr>
                <w:rFonts w:cs="Arial"/>
                <w:sz w:val="22"/>
                <w:szCs w:val="22"/>
              </w:rPr>
              <w:t>Hardship</w:t>
            </w:r>
          </w:p>
        </w:tc>
        <w:tc>
          <w:tcPr>
            <w:tcW w:w="2268" w:type="dxa"/>
          </w:tcPr>
          <w:p w14:paraId="74566266" w14:textId="77777777" w:rsidR="00053BA5" w:rsidRPr="00D936A7" w:rsidRDefault="00053BA5" w:rsidP="0019309F">
            <w:pPr>
              <w:spacing w:before="60" w:after="60" w:line="240" w:lineRule="auto"/>
              <w:cnfStyle w:val="000000100000" w:firstRow="0" w:lastRow="0" w:firstColumn="0" w:lastColumn="0" w:oddVBand="0" w:evenVBand="0" w:oddHBand="1" w:evenHBand="0" w:firstRowFirstColumn="0" w:firstRowLastColumn="0" w:lastRowFirstColumn="0" w:lastRowLastColumn="0"/>
              <w:rPr>
                <w:rFonts w:cs="Arial"/>
                <w:color w:val="auto"/>
                <w:sz w:val="22"/>
                <w:szCs w:val="22"/>
              </w:rPr>
            </w:pPr>
            <w:r w:rsidRPr="00D936A7">
              <w:rPr>
                <w:rFonts w:ascii="Segoe UI Symbol" w:hAnsi="Segoe UI Symbol" w:cs="Segoe UI Symbol"/>
                <w:sz w:val="22"/>
                <w:szCs w:val="22"/>
              </w:rPr>
              <w:t>✓</w:t>
            </w:r>
          </w:p>
        </w:tc>
        <w:tc>
          <w:tcPr>
            <w:tcW w:w="1927" w:type="dxa"/>
          </w:tcPr>
          <w:p w14:paraId="3109C5F6" w14:textId="77777777" w:rsidR="00053BA5" w:rsidRPr="00C95950" w:rsidRDefault="00053BA5" w:rsidP="0019309F">
            <w:pPr>
              <w:spacing w:before="60" w:after="60" w:line="240" w:lineRule="auto"/>
              <w:cnfStyle w:val="000000100000" w:firstRow="0" w:lastRow="0" w:firstColumn="0" w:lastColumn="0" w:oddVBand="0" w:evenVBand="0" w:oddHBand="1" w:evenHBand="0" w:firstRowFirstColumn="0" w:firstRowLastColumn="0" w:lastRowFirstColumn="0" w:lastRowLastColumn="0"/>
              <w:rPr>
                <w:rFonts w:cs="Arial"/>
                <w:color w:val="auto"/>
                <w:sz w:val="22"/>
                <w:szCs w:val="22"/>
              </w:rPr>
            </w:pPr>
            <w:r w:rsidRPr="00D936A7">
              <w:rPr>
                <w:rFonts w:ascii="Segoe UI Symbol" w:hAnsi="Segoe UI Symbol" w:cs="Segoe UI Symbol"/>
                <w:sz w:val="22"/>
                <w:szCs w:val="22"/>
              </w:rPr>
              <w:t>✓</w:t>
            </w:r>
          </w:p>
        </w:tc>
      </w:tr>
      <w:tr w:rsidR="00053BA5" w:rsidRPr="00C95950" w14:paraId="2B13A0B1" w14:textId="77777777" w:rsidTr="00232F70">
        <w:tc>
          <w:tcPr>
            <w:cnfStyle w:val="001000000000" w:firstRow="0" w:lastRow="0" w:firstColumn="1" w:lastColumn="0" w:oddVBand="0" w:evenVBand="0" w:oddHBand="0" w:evenHBand="0" w:firstRowFirstColumn="0" w:firstRowLastColumn="0" w:lastRowFirstColumn="0" w:lastRowLastColumn="0"/>
            <w:tcW w:w="4815" w:type="dxa"/>
          </w:tcPr>
          <w:p w14:paraId="0E11FA73" w14:textId="00E6D56F" w:rsidR="00053BA5" w:rsidRPr="00C95950" w:rsidRDefault="00053BA5" w:rsidP="0019309F">
            <w:pPr>
              <w:spacing w:before="60" w:after="60" w:line="240" w:lineRule="auto"/>
              <w:rPr>
                <w:rFonts w:cs="Arial"/>
                <w:b w:val="0"/>
                <w:bCs w:val="0"/>
                <w:color w:val="auto"/>
                <w:sz w:val="22"/>
                <w:szCs w:val="22"/>
              </w:rPr>
            </w:pPr>
            <w:r w:rsidRPr="00C95950">
              <w:rPr>
                <w:rFonts w:cs="Arial"/>
                <w:sz w:val="22"/>
                <w:szCs w:val="22"/>
              </w:rPr>
              <w:lastRenderedPageBreak/>
              <w:t xml:space="preserve">Domestic </w:t>
            </w:r>
            <w:r w:rsidR="00BB6AB6">
              <w:rPr>
                <w:rFonts w:cs="Arial"/>
                <w:sz w:val="22"/>
                <w:szCs w:val="22"/>
              </w:rPr>
              <w:t>v</w:t>
            </w:r>
            <w:r w:rsidRPr="00C95950">
              <w:rPr>
                <w:rFonts w:cs="Arial"/>
                <w:sz w:val="22"/>
                <w:szCs w:val="22"/>
              </w:rPr>
              <w:t>iolence</w:t>
            </w:r>
          </w:p>
        </w:tc>
        <w:tc>
          <w:tcPr>
            <w:tcW w:w="2268" w:type="dxa"/>
          </w:tcPr>
          <w:p w14:paraId="62C1BC9B" w14:textId="77777777" w:rsidR="00053BA5" w:rsidRPr="00C95950" w:rsidRDefault="00053BA5" w:rsidP="0019309F">
            <w:pPr>
              <w:spacing w:before="60" w:after="60" w:line="240" w:lineRule="auto"/>
              <w:cnfStyle w:val="000000000000" w:firstRow="0" w:lastRow="0" w:firstColumn="0" w:lastColumn="0" w:oddVBand="0" w:evenVBand="0" w:oddHBand="0" w:evenHBand="0" w:firstRowFirstColumn="0" w:firstRowLastColumn="0" w:lastRowFirstColumn="0" w:lastRowLastColumn="0"/>
              <w:rPr>
                <w:rFonts w:cs="Arial"/>
                <w:color w:val="auto"/>
                <w:sz w:val="22"/>
                <w:szCs w:val="22"/>
              </w:rPr>
            </w:pPr>
          </w:p>
        </w:tc>
        <w:tc>
          <w:tcPr>
            <w:tcW w:w="1927" w:type="dxa"/>
          </w:tcPr>
          <w:p w14:paraId="3D6D744E" w14:textId="77777777" w:rsidR="00053BA5" w:rsidRPr="00C95950" w:rsidRDefault="00053BA5" w:rsidP="0019309F">
            <w:pPr>
              <w:spacing w:before="60" w:after="60" w:line="240" w:lineRule="auto"/>
              <w:cnfStyle w:val="000000000000" w:firstRow="0" w:lastRow="0" w:firstColumn="0" w:lastColumn="0" w:oddVBand="0" w:evenVBand="0" w:oddHBand="0" w:evenHBand="0" w:firstRowFirstColumn="0" w:firstRowLastColumn="0" w:lastRowFirstColumn="0" w:lastRowLastColumn="0"/>
              <w:rPr>
                <w:rFonts w:cs="Arial"/>
                <w:color w:val="auto"/>
                <w:sz w:val="22"/>
                <w:szCs w:val="22"/>
              </w:rPr>
            </w:pPr>
            <w:r w:rsidRPr="00D936A7">
              <w:rPr>
                <w:rFonts w:ascii="Segoe UI Symbol" w:hAnsi="Segoe UI Symbol" w:cs="Segoe UI Symbol"/>
                <w:sz w:val="22"/>
                <w:szCs w:val="22"/>
              </w:rPr>
              <w:t>✓</w:t>
            </w:r>
            <w:r w:rsidRPr="00C95950">
              <w:rPr>
                <w:rFonts w:cs="Arial"/>
                <w:sz w:val="22"/>
                <w:szCs w:val="22"/>
              </w:rPr>
              <w:t xml:space="preserve"> (on-site home agreements only)</w:t>
            </w:r>
          </w:p>
        </w:tc>
      </w:tr>
    </w:tbl>
    <w:p w14:paraId="2B085D4D" w14:textId="3296B66D" w:rsidR="00053BA5" w:rsidRPr="00A82AF3" w:rsidRDefault="00053BA5" w:rsidP="0019309F">
      <w:pPr>
        <w:pStyle w:val="BodyText"/>
        <w:jc w:val="left"/>
      </w:pPr>
      <w:r w:rsidRPr="00B23C32">
        <w:rPr>
          <w:b/>
          <w:bCs/>
        </w:rPr>
        <w:t>Note</w:t>
      </w:r>
      <w:r w:rsidRPr="00BB6AB6">
        <w:t>:</w:t>
      </w:r>
      <w:r w:rsidRPr="0083690A">
        <w:t xml:space="preserve"> </w:t>
      </w:r>
      <w:r w:rsidR="00BB6AB6">
        <w:t>E</w:t>
      </w:r>
      <w:r w:rsidRPr="0083690A">
        <w:t>ach ground above is applicable to both site-only and on-site home agreements unless otherwise mentioned. Each ground applies to both periodic and fixed-term agreements</w:t>
      </w:r>
      <w:r w:rsidRPr="00A82AF3">
        <w:t>.</w:t>
      </w:r>
    </w:p>
    <w:p w14:paraId="646CED81" w14:textId="5AE148CA" w:rsidR="00C95950" w:rsidRDefault="00C95950" w:rsidP="0019309F">
      <w:pPr>
        <w:pStyle w:val="BodyText"/>
        <w:jc w:val="left"/>
      </w:pPr>
      <w:r>
        <w:t>A fixed-term agreement will be terminated when the fixed-term has ended and the long-stay tenant provides vacant possession of the premises to the operator</w:t>
      </w:r>
      <w:r w:rsidR="00BB6AB6">
        <w:t>.</w:t>
      </w:r>
      <w:r>
        <w:rPr>
          <w:rStyle w:val="FootnoteReference"/>
        </w:rPr>
        <w:footnoteReference w:id="69"/>
      </w:r>
    </w:p>
    <w:p w14:paraId="7AF012E2" w14:textId="0FB266E2" w:rsidR="00053BA5" w:rsidRDefault="00053BA5" w:rsidP="0019309F">
      <w:pPr>
        <w:pStyle w:val="BodyText"/>
        <w:jc w:val="left"/>
      </w:pPr>
      <w:r>
        <w:t xml:space="preserve">In addition to the grounds above, an operator may apply to </w:t>
      </w:r>
      <w:r w:rsidR="00BB6AB6">
        <w:t xml:space="preserve">the </w:t>
      </w:r>
      <w:r>
        <w:t>SAT to make an order for a long-stay tenant to provide the operator vacant possession, for example, the fixed-term long-stay agreement has expired and the tenant has not removed their home from the site and no periodic tenancy is in place</w:t>
      </w:r>
      <w:r w:rsidR="00BB6AB6">
        <w:t>.</w:t>
      </w:r>
      <w:r>
        <w:rPr>
          <w:rStyle w:val="FootnoteReference"/>
        </w:rPr>
        <w:footnoteReference w:id="70"/>
      </w:r>
    </w:p>
    <w:p w14:paraId="0C6A0159" w14:textId="053E4CD0" w:rsidR="00053BA5" w:rsidRDefault="00053BA5" w:rsidP="0019309F">
      <w:pPr>
        <w:pStyle w:val="Heading3"/>
        <w:jc w:val="left"/>
      </w:pPr>
      <w:bookmarkStart w:id="234" w:name="_Toc219884915"/>
      <w:r>
        <w:t>Feedback</w:t>
      </w:r>
      <w:bookmarkEnd w:id="234"/>
    </w:p>
    <w:p w14:paraId="2723CF46" w14:textId="54306865" w:rsidR="00053BA5" w:rsidRDefault="0083690A" w:rsidP="0019309F">
      <w:pPr>
        <w:pStyle w:val="BodyText"/>
        <w:jc w:val="left"/>
      </w:pPr>
      <w:r>
        <w:t>LGIRS invites comment from stakeholders if the current grounds</w:t>
      </w:r>
      <w:r w:rsidR="00E87471">
        <w:t xml:space="preserve"> for park operators and long-stay tenants</w:t>
      </w:r>
      <w:r>
        <w:t xml:space="preserve"> require amendment.</w:t>
      </w:r>
    </w:p>
    <w:tbl>
      <w:tblPr>
        <w:tblStyle w:val="TableGrid"/>
        <w:tblW w:w="0" w:type="auto"/>
        <w:tblLook w:val="04A0" w:firstRow="1" w:lastRow="0" w:firstColumn="1" w:lastColumn="0" w:noHBand="0" w:noVBand="1"/>
      </w:tblPr>
      <w:tblGrid>
        <w:gridCol w:w="9010"/>
      </w:tblGrid>
      <w:tr w:rsidR="0083690A" w14:paraId="0819BB00" w14:textId="77777777" w:rsidTr="0083690A">
        <w:tc>
          <w:tcPr>
            <w:tcW w:w="9010" w:type="dxa"/>
          </w:tcPr>
          <w:p w14:paraId="21AF8C72" w14:textId="70C7F340" w:rsidR="0083690A" w:rsidRPr="005B6C74" w:rsidRDefault="0083690A" w:rsidP="0019309F">
            <w:pPr>
              <w:pStyle w:val="BodyText"/>
              <w:jc w:val="left"/>
              <w:rPr>
                <w:sz w:val="24"/>
              </w:rPr>
            </w:pPr>
            <w:r w:rsidRPr="003F7731">
              <w:rPr>
                <w:b/>
                <w:bCs/>
                <w:sz w:val="24"/>
                <w:szCs w:val="28"/>
              </w:rPr>
              <w:t>Consultation question</w:t>
            </w:r>
          </w:p>
          <w:p w14:paraId="73F7E504" w14:textId="24E498D5" w:rsidR="0083690A" w:rsidRPr="00D936A7" w:rsidRDefault="0083690A" w:rsidP="0019309F">
            <w:pPr>
              <w:pStyle w:val="ListParagraph"/>
              <w:jc w:val="left"/>
            </w:pPr>
            <w:r w:rsidRPr="009C0A3C">
              <w:rPr>
                <w:sz w:val="24"/>
                <w:szCs w:val="32"/>
              </w:rPr>
              <w:t>Are the current grounds for termination appropriate</w:t>
            </w:r>
            <w:r w:rsidR="003F7731" w:rsidRPr="009C0A3C">
              <w:rPr>
                <w:sz w:val="24"/>
                <w:szCs w:val="32"/>
              </w:rPr>
              <w:t>?</w:t>
            </w:r>
          </w:p>
        </w:tc>
      </w:tr>
    </w:tbl>
    <w:p w14:paraId="4E28096C" w14:textId="33ACA659" w:rsidR="0083690A" w:rsidRDefault="0083690A" w:rsidP="0019309F">
      <w:pPr>
        <w:pStyle w:val="Heading2"/>
        <w:jc w:val="left"/>
      </w:pPr>
      <w:bookmarkStart w:id="235" w:name="_Toc219884916"/>
      <w:r>
        <w:t>Notice periods</w:t>
      </w:r>
      <w:bookmarkEnd w:id="235"/>
    </w:p>
    <w:p w14:paraId="25B95153" w14:textId="694CF61F" w:rsidR="0083690A" w:rsidRDefault="0083690A" w:rsidP="0019309F">
      <w:pPr>
        <w:pStyle w:val="Heading3"/>
        <w:jc w:val="left"/>
      </w:pPr>
      <w:bookmarkStart w:id="236" w:name="_Toc219884917"/>
      <w:r>
        <w:t>Issues</w:t>
      </w:r>
      <w:bookmarkEnd w:id="236"/>
    </w:p>
    <w:p w14:paraId="032B0F06" w14:textId="15D4D684" w:rsidR="0083690A" w:rsidRDefault="0083690A" w:rsidP="0019309F">
      <w:pPr>
        <w:pStyle w:val="BodyText"/>
        <w:jc w:val="left"/>
      </w:pPr>
      <w:r>
        <w:t xml:space="preserve">LGIRS invites </w:t>
      </w:r>
      <w:r w:rsidR="00C85CAB">
        <w:t xml:space="preserve">feedback about whether </w:t>
      </w:r>
      <w:r>
        <w:t xml:space="preserve">the current notice periods provide long-stay tenants with </w:t>
      </w:r>
      <w:r w:rsidR="00411FD6">
        <w:t>sufficient time to identify options to vacate the park</w:t>
      </w:r>
      <w:r w:rsidR="00E87471">
        <w:t xml:space="preserve"> and manage associated </w:t>
      </w:r>
      <w:r w:rsidR="00C85CAB">
        <w:t xml:space="preserve">relocation arrangements and </w:t>
      </w:r>
      <w:r w:rsidR="00E87471">
        <w:t>costs.</w:t>
      </w:r>
    </w:p>
    <w:p w14:paraId="0DB8F12D" w14:textId="4A21A0B3" w:rsidR="00411FD6" w:rsidRDefault="00411FD6" w:rsidP="0019309F">
      <w:pPr>
        <w:pStyle w:val="Heading3"/>
        <w:jc w:val="left"/>
      </w:pPr>
      <w:bookmarkStart w:id="237" w:name="_Toc219884918"/>
      <w:r>
        <w:t xml:space="preserve">Current </w:t>
      </w:r>
      <w:r w:rsidR="00BB6AB6">
        <w:t>r</w:t>
      </w:r>
      <w:r>
        <w:t>equirements</w:t>
      </w:r>
      <w:bookmarkEnd w:id="237"/>
    </w:p>
    <w:p w14:paraId="7CA90E86" w14:textId="619E3B88" w:rsidR="008A43B3" w:rsidRDefault="00411FD6" w:rsidP="0019309F">
      <w:r>
        <w:t>Notice to terminate a long-stay agreement must be in written form</w:t>
      </w:r>
      <w:r w:rsidR="00BB6AB6">
        <w:t>.</w:t>
      </w:r>
      <w:r>
        <w:rPr>
          <w:rStyle w:val="FootnoteReference"/>
        </w:rPr>
        <w:footnoteReference w:id="71"/>
      </w:r>
      <w:r>
        <w:t xml:space="preserve"> The date that the long-stay tenant must vacate the park must be a minimum of 180 days after the notice </w:t>
      </w:r>
      <w:r w:rsidR="00697840">
        <w:t>is</w:t>
      </w:r>
      <w:r>
        <w:t xml:space="preserve"> given to the tenant for site-only agreements and 60 days for on-site home agreements. For fixed-term agreements, the termination date must not be before the last day of the fixed term. </w:t>
      </w:r>
    </w:p>
    <w:p w14:paraId="3F97E1A5" w14:textId="77777777" w:rsidR="008A43B3" w:rsidRDefault="008A43B3" w:rsidP="0019309F">
      <w:pPr>
        <w:pStyle w:val="BodyText"/>
        <w:jc w:val="left"/>
      </w:pPr>
      <w:r>
        <w:t>The</w:t>
      </w:r>
      <w:r w:rsidRPr="00C85CAB">
        <w:t xml:space="preserve"> Act requires park operators to provide written notice to a long-stay tenant with a fixed-term lease of whether they do or do not intend to renew or extend the duration of the lease. The minimum notice period will depend on the circumstances</w:t>
      </w:r>
      <w:r>
        <w:t>:</w:t>
      </w:r>
      <w:r w:rsidRPr="008A43B3">
        <w:t xml:space="preserve"> </w:t>
      </w:r>
    </w:p>
    <w:p w14:paraId="5DF17775" w14:textId="0E5EC42C" w:rsidR="008A43B3" w:rsidRDefault="008A43B3" w:rsidP="0019309F">
      <w:pPr>
        <w:pStyle w:val="BodyText"/>
        <w:numPr>
          <w:ilvl w:val="0"/>
          <w:numId w:val="10"/>
        </w:numPr>
        <w:jc w:val="left"/>
      </w:pPr>
      <w:r>
        <w:lastRenderedPageBreak/>
        <w:t xml:space="preserve">60 days before the end of the tenancy for all on-site home agreements and site-only agreements of less than </w:t>
      </w:r>
      <w:r w:rsidR="00BB6AB6">
        <w:t>two</w:t>
      </w:r>
      <w:r>
        <w:t xml:space="preserve"> years duration; and </w:t>
      </w:r>
    </w:p>
    <w:p w14:paraId="1F00DC77" w14:textId="4D04D982" w:rsidR="008A43B3" w:rsidRDefault="008A43B3" w:rsidP="0019309F">
      <w:pPr>
        <w:pStyle w:val="BodyText"/>
        <w:numPr>
          <w:ilvl w:val="0"/>
          <w:numId w:val="10"/>
        </w:numPr>
        <w:jc w:val="left"/>
        <w:rPr>
          <w:sz w:val="22"/>
        </w:rPr>
      </w:pPr>
      <w:r>
        <w:t xml:space="preserve">180 days for site-only agreements with a duration of longer than </w:t>
      </w:r>
      <w:r w:rsidR="00BB6AB6">
        <w:t>two</w:t>
      </w:r>
      <w:r>
        <w:t xml:space="preserve"> years.</w:t>
      </w:r>
      <w:r w:rsidRPr="008A43B3">
        <w:rPr>
          <w:rStyle w:val="FootnoteReference"/>
        </w:rPr>
        <w:t xml:space="preserve"> </w:t>
      </w:r>
      <w:r w:rsidRPr="00C85CAB">
        <w:rPr>
          <w:rStyle w:val="FootnoteReference"/>
          <w:sz w:val="22"/>
        </w:rPr>
        <w:footnoteReference w:id="72"/>
      </w:r>
    </w:p>
    <w:p w14:paraId="52CAD5D5" w14:textId="7A3BD47A" w:rsidR="008A43B3" w:rsidRPr="00C85CAB" w:rsidRDefault="008A43B3" w:rsidP="0019309F">
      <w:pPr>
        <w:pStyle w:val="BodyText"/>
        <w:jc w:val="left"/>
      </w:pPr>
      <w:r w:rsidRPr="00C85CAB">
        <w:t>The purpose of this notice is to ensure long-stay tenants with a fixed-term agreement can plan beyond the duration of their current agreement.</w:t>
      </w:r>
    </w:p>
    <w:p w14:paraId="272603AF" w14:textId="7E2B8DD6" w:rsidR="00411FD6" w:rsidRDefault="00411FD6" w:rsidP="0019309F">
      <w:pPr>
        <w:pStyle w:val="BodyText"/>
        <w:jc w:val="left"/>
      </w:pPr>
      <w:r>
        <w:t xml:space="preserve">In </w:t>
      </w:r>
      <w:r w:rsidR="00C65BE7">
        <w:t>NSW</w:t>
      </w:r>
      <w:r>
        <w:t>, a park operator cannot require a long-stay tenant to vacate the park due to a change of use of the site or closure of the park for 12 months after the date of the notice</w:t>
      </w:r>
      <w:r>
        <w:rPr>
          <w:rStyle w:val="FootnoteReference"/>
        </w:rPr>
        <w:footnoteReference w:id="73"/>
      </w:r>
      <w:r>
        <w:t xml:space="preserve">. In </w:t>
      </w:r>
      <w:r w:rsidR="00C65BE7">
        <w:t>QLD</w:t>
      </w:r>
      <w:r>
        <w:t xml:space="preserve">, termination must be a day not later than </w:t>
      </w:r>
      <w:r w:rsidR="00BB6AB6">
        <w:t>one</w:t>
      </w:r>
      <w:r>
        <w:t xml:space="preserve"> year after the termination order is made by the Queensland Civil and Administrative Tribunal</w:t>
      </w:r>
      <w:r w:rsidR="00BB6AB6">
        <w:t>.</w:t>
      </w:r>
      <w:r>
        <w:rPr>
          <w:rStyle w:val="FootnoteReference"/>
        </w:rPr>
        <w:footnoteReference w:id="74"/>
      </w:r>
    </w:p>
    <w:p w14:paraId="3256C385" w14:textId="65950A82" w:rsidR="00E87471" w:rsidRDefault="00E87471" w:rsidP="0019309F">
      <w:pPr>
        <w:pStyle w:val="Heading3"/>
        <w:jc w:val="left"/>
      </w:pPr>
      <w:bookmarkStart w:id="238" w:name="_Toc219884919"/>
      <w:r>
        <w:t>Feedback</w:t>
      </w:r>
      <w:bookmarkEnd w:id="238"/>
    </w:p>
    <w:p w14:paraId="22F9D60A" w14:textId="7A78ACC4" w:rsidR="00E87471" w:rsidRDefault="00E87471" w:rsidP="0019309F">
      <w:pPr>
        <w:pStyle w:val="BodyText"/>
        <w:jc w:val="left"/>
      </w:pPr>
      <w:r>
        <w:t xml:space="preserve">LGIRS invites comment from stakeholders if the current </w:t>
      </w:r>
      <w:r w:rsidR="00957F7C">
        <w:t>notice periods are appropriate</w:t>
      </w:r>
      <w:r>
        <w:t>.</w:t>
      </w:r>
    </w:p>
    <w:tbl>
      <w:tblPr>
        <w:tblStyle w:val="TableGrid"/>
        <w:tblW w:w="0" w:type="auto"/>
        <w:tblLook w:val="04A0" w:firstRow="1" w:lastRow="0" w:firstColumn="1" w:lastColumn="0" w:noHBand="0" w:noVBand="1"/>
      </w:tblPr>
      <w:tblGrid>
        <w:gridCol w:w="9010"/>
      </w:tblGrid>
      <w:tr w:rsidR="00E87471" w14:paraId="6AFBF78E" w14:textId="77777777" w:rsidTr="00E87471">
        <w:tc>
          <w:tcPr>
            <w:tcW w:w="9010" w:type="dxa"/>
          </w:tcPr>
          <w:p w14:paraId="38E451AE" w14:textId="41CBD037" w:rsidR="00E87471" w:rsidRPr="005B6C74" w:rsidRDefault="00E87471" w:rsidP="0019309F">
            <w:pPr>
              <w:pStyle w:val="BodyText"/>
              <w:jc w:val="left"/>
              <w:rPr>
                <w:sz w:val="24"/>
              </w:rPr>
            </w:pPr>
            <w:r w:rsidRPr="003F7731">
              <w:rPr>
                <w:b/>
                <w:bCs/>
                <w:sz w:val="24"/>
                <w:szCs w:val="28"/>
              </w:rPr>
              <w:t>Consultation question</w:t>
            </w:r>
          </w:p>
          <w:p w14:paraId="4E108646" w14:textId="666E2298" w:rsidR="008A43B3" w:rsidRPr="00D936A7" w:rsidRDefault="00E87471" w:rsidP="0019309F">
            <w:pPr>
              <w:pStyle w:val="ListParagraph"/>
              <w:jc w:val="left"/>
            </w:pPr>
            <w:r w:rsidRPr="009C0A3C">
              <w:rPr>
                <w:sz w:val="24"/>
                <w:szCs w:val="32"/>
              </w:rPr>
              <w:t>Are current notice periods for termination</w:t>
            </w:r>
            <w:r w:rsidR="008A43B3" w:rsidRPr="009C0A3C">
              <w:rPr>
                <w:sz w:val="24"/>
                <w:szCs w:val="32"/>
              </w:rPr>
              <w:t xml:space="preserve"> and end of a fixed term</w:t>
            </w:r>
            <w:r w:rsidRPr="009C0A3C">
              <w:rPr>
                <w:sz w:val="24"/>
                <w:szCs w:val="32"/>
              </w:rPr>
              <w:t xml:space="preserve"> appropriate</w:t>
            </w:r>
            <w:r w:rsidR="00000AA9" w:rsidRPr="009C0A3C">
              <w:rPr>
                <w:sz w:val="24"/>
                <w:szCs w:val="32"/>
              </w:rPr>
              <w:t>?</w:t>
            </w:r>
            <w:r w:rsidR="008A43B3" w:rsidRPr="009C0A3C">
              <w:rPr>
                <w:sz w:val="24"/>
                <w:szCs w:val="32"/>
              </w:rPr>
              <w:t xml:space="preserve"> If not, what notice periods should apply</w:t>
            </w:r>
            <w:r w:rsidR="003F7731" w:rsidRPr="009C0A3C">
              <w:rPr>
                <w:sz w:val="24"/>
                <w:szCs w:val="32"/>
              </w:rPr>
              <w:t>?</w:t>
            </w:r>
          </w:p>
        </w:tc>
      </w:tr>
    </w:tbl>
    <w:p w14:paraId="1E991B91" w14:textId="67ED4CF7" w:rsidR="009E1712" w:rsidRDefault="009E1712" w:rsidP="0019309F">
      <w:pPr>
        <w:pStyle w:val="Heading2"/>
        <w:jc w:val="left"/>
      </w:pPr>
      <w:bookmarkStart w:id="239" w:name="_Toc219884920"/>
      <w:r>
        <w:t xml:space="preserve">Engagement with </w:t>
      </w:r>
      <w:r w:rsidR="00BB6AB6">
        <w:t>t</w:t>
      </w:r>
      <w:r>
        <w:t>enants</w:t>
      </w:r>
      <w:bookmarkEnd w:id="239"/>
    </w:p>
    <w:p w14:paraId="5478776F" w14:textId="5773B70A" w:rsidR="009E1712" w:rsidRDefault="009E1712" w:rsidP="0019309F">
      <w:pPr>
        <w:pStyle w:val="Heading3"/>
        <w:jc w:val="left"/>
      </w:pPr>
      <w:bookmarkStart w:id="240" w:name="_Toc219884921"/>
      <w:r>
        <w:t>Issues</w:t>
      </w:r>
      <w:bookmarkEnd w:id="240"/>
    </w:p>
    <w:p w14:paraId="0FCDF0C9" w14:textId="783FB2D0" w:rsidR="009E1712" w:rsidRDefault="009E1712" w:rsidP="0019309F">
      <w:pPr>
        <w:pStyle w:val="BodyText"/>
        <w:jc w:val="left"/>
      </w:pPr>
      <w:r>
        <w:t xml:space="preserve">Effective stakeholder engagement can ensure </w:t>
      </w:r>
      <w:r w:rsidR="00697840">
        <w:t xml:space="preserve">that </w:t>
      </w:r>
      <w:r>
        <w:t>long-stay tenants receive additional support</w:t>
      </w:r>
      <w:r w:rsidR="00697840">
        <w:t xml:space="preserve"> if they are required to vacate a park</w:t>
      </w:r>
      <w:r>
        <w:t xml:space="preserve">. LGIRS invites comment from stakeholders </w:t>
      </w:r>
      <w:r w:rsidR="00697840">
        <w:t xml:space="preserve">about whether </w:t>
      </w:r>
      <w:r>
        <w:t>the level of engagement with stakeholders other than park operators and tenants requires improvement to assist tenants vacate the park when required by an operator.</w:t>
      </w:r>
    </w:p>
    <w:p w14:paraId="55D04DA7" w14:textId="10A35450" w:rsidR="009C5C69" w:rsidRDefault="009C5C69" w:rsidP="0019309F">
      <w:pPr>
        <w:pStyle w:val="Heading3"/>
        <w:jc w:val="left"/>
      </w:pPr>
      <w:bookmarkStart w:id="241" w:name="_Toc219884922"/>
      <w:r>
        <w:t xml:space="preserve">Current </w:t>
      </w:r>
      <w:r w:rsidR="004055F0">
        <w:t>r</w:t>
      </w:r>
      <w:r>
        <w:t>equirements</w:t>
      </w:r>
      <w:bookmarkEnd w:id="241"/>
    </w:p>
    <w:p w14:paraId="07D0F982" w14:textId="4AE9148C" w:rsidR="008A43B3" w:rsidRPr="00C85CAB" w:rsidRDefault="008A43B3" w:rsidP="0019309F">
      <w:pPr>
        <w:pStyle w:val="BodyText"/>
        <w:jc w:val="left"/>
        <w:rPr>
          <w:b/>
          <w:iCs/>
        </w:rPr>
      </w:pPr>
      <w:r>
        <w:t>A</w:t>
      </w:r>
      <w:r w:rsidRPr="00C85CAB">
        <w:t xml:space="preserve"> park operator must provide written notice to a long-stay tenant as soon as reasonably practicable regarding anything that may affect the tenant’s enjoyment of the park, such as an upcoming sale of the park</w:t>
      </w:r>
      <w:r w:rsidR="004055F0">
        <w:t>.</w:t>
      </w:r>
      <w:r w:rsidRPr="00C85CAB">
        <w:rPr>
          <w:rStyle w:val="FootnoteReference"/>
          <w:sz w:val="22"/>
        </w:rPr>
        <w:footnoteReference w:id="75"/>
      </w:r>
      <w:r w:rsidRPr="00C85CAB">
        <w:t xml:space="preserve"> </w:t>
      </w:r>
    </w:p>
    <w:p w14:paraId="72E67B0F" w14:textId="6AC60CA2" w:rsidR="006E7A19" w:rsidRPr="00697840" w:rsidRDefault="009C5C69" w:rsidP="0019309F">
      <w:pPr>
        <w:pStyle w:val="BodyText"/>
        <w:jc w:val="left"/>
      </w:pPr>
      <w:r w:rsidRPr="00697840">
        <w:lastRenderedPageBreak/>
        <w:t xml:space="preserve">The Act </w:t>
      </w:r>
      <w:r w:rsidR="008A43B3">
        <w:t xml:space="preserve">also </w:t>
      </w:r>
      <w:r w:rsidRPr="00697840">
        <w:t>requires operators to provide notice to the Commissioner if the park will be closed or used for another purpose</w:t>
      </w:r>
      <w:r w:rsidR="004055F0">
        <w:t>.</w:t>
      </w:r>
      <w:r w:rsidRPr="00697840">
        <w:rPr>
          <w:rStyle w:val="FootnoteReference"/>
          <w:sz w:val="22"/>
        </w:rPr>
        <w:footnoteReference w:id="76"/>
      </w:r>
      <w:r w:rsidRPr="00697840">
        <w:t xml:space="preserve"> </w:t>
      </w:r>
      <w:r w:rsidR="006E7A19" w:rsidRPr="00697840">
        <w:t>The Commissioner can assist to coordinate government support to long-stay tenants across agencies. To improve this function, the Act may require amendment to require operators to provide advance notice to the Commissioner in circumstances where long-stay tenants are required to vacate the park due to long-stay sites no longer being available</w:t>
      </w:r>
      <w:r w:rsidR="00980DF9">
        <w:t xml:space="preserve"> due to sale of the park</w:t>
      </w:r>
      <w:r w:rsidR="006E7A19" w:rsidRPr="00697840">
        <w:t>.</w:t>
      </w:r>
    </w:p>
    <w:p w14:paraId="3E247AA7" w14:textId="7DDE8017" w:rsidR="006E7A19" w:rsidRPr="00697840" w:rsidRDefault="006E7A19" w:rsidP="0019309F">
      <w:pPr>
        <w:pStyle w:val="BodyText"/>
        <w:jc w:val="left"/>
      </w:pPr>
      <w:r w:rsidRPr="00697840">
        <w:t xml:space="preserve">Park operators have an incentive to support long-stay tenants to vacate the park in an organised and considered manner. Other jurisdictions have introduced regulation to increase the engagement of park operators. For example, in </w:t>
      </w:r>
      <w:r w:rsidR="00C65BE7">
        <w:t>NSW</w:t>
      </w:r>
      <w:r w:rsidRPr="00697840">
        <w:t xml:space="preserve"> operators are required, after a termination notice is given, to use reasonable endeavours to obtain for long-stay tenants with a site-only agreements alternative accommodation that is acceptable or ought to be reasonably acceptable to them</w:t>
      </w:r>
      <w:r w:rsidR="00D62A5D">
        <w:t>.</w:t>
      </w:r>
      <w:r w:rsidRPr="00697840">
        <w:rPr>
          <w:rStyle w:val="FootnoteReference"/>
          <w:sz w:val="22"/>
        </w:rPr>
        <w:footnoteReference w:id="77"/>
      </w:r>
      <w:r w:rsidRPr="00697840">
        <w:t xml:space="preserve"> </w:t>
      </w:r>
    </w:p>
    <w:p w14:paraId="3C04F0B7" w14:textId="1940FA61" w:rsidR="00E766DD" w:rsidRDefault="00E766DD" w:rsidP="0019309F">
      <w:pPr>
        <w:pStyle w:val="Heading3"/>
        <w:jc w:val="left"/>
      </w:pPr>
      <w:bookmarkStart w:id="242" w:name="_Toc219884923"/>
      <w:r>
        <w:t>Improvement</w:t>
      </w:r>
      <w:bookmarkEnd w:id="242"/>
    </w:p>
    <w:p w14:paraId="23F87C9F" w14:textId="4446DFCA" w:rsidR="00E766DD" w:rsidRPr="00697840" w:rsidRDefault="006E7A19" w:rsidP="0019309F">
      <w:pPr>
        <w:pStyle w:val="BodyText"/>
        <w:jc w:val="left"/>
      </w:pPr>
      <w:r w:rsidRPr="00697840">
        <w:t>LGIRS invites comment to determine if improvement is required to the level of stakeholder engagement to assist long-stay tenants vacate the park.</w:t>
      </w:r>
    </w:p>
    <w:tbl>
      <w:tblPr>
        <w:tblStyle w:val="TableGrid"/>
        <w:tblW w:w="0" w:type="auto"/>
        <w:tblLook w:val="04A0" w:firstRow="1" w:lastRow="0" w:firstColumn="1" w:lastColumn="0" w:noHBand="0" w:noVBand="1"/>
      </w:tblPr>
      <w:tblGrid>
        <w:gridCol w:w="9010"/>
      </w:tblGrid>
      <w:tr w:rsidR="006E7A19" w14:paraId="3B1B661E" w14:textId="77777777" w:rsidTr="006E7A19">
        <w:tc>
          <w:tcPr>
            <w:tcW w:w="9010" w:type="dxa"/>
          </w:tcPr>
          <w:p w14:paraId="63B5553D" w14:textId="5EB20F7E" w:rsidR="006E7A19" w:rsidRPr="005B6C74" w:rsidRDefault="006E7A19" w:rsidP="0019309F">
            <w:pPr>
              <w:rPr>
                <w:b/>
                <w:bCs/>
                <w:sz w:val="24"/>
              </w:rPr>
            </w:pPr>
            <w:r w:rsidRPr="003F7731">
              <w:rPr>
                <w:b/>
                <w:bCs/>
                <w:sz w:val="24"/>
                <w:szCs w:val="32"/>
              </w:rPr>
              <w:t>Consultation question</w:t>
            </w:r>
            <w:r w:rsidR="003F7731">
              <w:rPr>
                <w:b/>
                <w:bCs/>
                <w:sz w:val="24"/>
                <w:szCs w:val="32"/>
              </w:rPr>
              <w:t>s</w:t>
            </w:r>
          </w:p>
          <w:p w14:paraId="795AA4FF" w14:textId="1F60C872" w:rsidR="008A43B3" w:rsidRPr="009C0A3C" w:rsidRDefault="008A43B3" w:rsidP="0019309F">
            <w:pPr>
              <w:pStyle w:val="ListParagraph"/>
              <w:jc w:val="left"/>
              <w:rPr>
                <w:sz w:val="24"/>
                <w:szCs w:val="32"/>
              </w:rPr>
            </w:pPr>
            <w:r w:rsidRPr="009C0A3C">
              <w:rPr>
                <w:sz w:val="24"/>
                <w:szCs w:val="32"/>
              </w:rPr>
              <w:t xml:space="preserve">Should the requirement to notify the Commissioner apply where long-stay agreements will be terminated on the proposed sale </w:t>
            </w:r>
            <w:r w:rsidR="00980DF9" w:rsidRPr="009C0A3C">
              <w:rPr>
                <w:sz w:val="24"/>
                <w:szCs w:val="32"/>
              </w:rPr>
              <w:t>of a park with vacant possession</w:t>
            </w:r>
            <w:r w:rsidRPr="009C0A3C">
              <w:rPr>
                <w:sz w:val="24"/>
                <w:szCs w:val="32"/>
              </w:rPr>
              <w:t xml:space="preserve">? </w:t>
            </w:r>
          </w:p>
          <w:p w14:paraId="3EF43ED6" w14:textId="1C008DEF" w:rsidR="006E7A19" w:rsidRPr="00D936A7" w:rsidRDefault="006E7A19" w:rsidP="0019309F">
            <w:pPr>
              <w:pStyle w:val="ListParagraph"/>
              <w:jc w:val="left"/>
            </w:pPr>
            <w:r w:rsidRPr="009C0A3C">
              <w:rPr>
                <w:sz w:val="24"/>
                <w:szCs w:val="32"/>
              </w:rPr>
              <w:t>Are any additional requirements necessary, such as additional requirements for engagement</w:t>
            </w:r>
            <w:r w:rsidR="00102521" w:rsidRPr="009C0A3C">
              <w:rPr>
                <w:sz w:val="24"/>
                <w:szCs w:val="32"/>
              </w:rPr>
              <w:t>?</w:t>
            </w:r>
          </w:p>
        </w:tc>
      </w:tr>
    </w:tbl>
    <w:p w14:paraId="0101C30A" w14:textId="6952E1ED" w:rsidR="00BB2478" w:rsidRDefault="00BB2478" w:rsidP="0019309F">
      <w:pPr>
        <w:pStyle w:val="Heading2"/>
        <w:jc w:val="left"/>
      </w:pPr>
      <w:bookmarkStart w:id="243" w:name="_Toc219207157"/>
      <w:bookmarkStart w:id="244" w:name="_Toc219207158"/>
      <w:bookmarkStart w:id="245" w:name="_Toc219207159"/>
      <w:bookmarkStart w:id="246" w:name="_Toc219207160"/>
      <w:bookmarkStart w:id="247" w:name="_Toc219207161"/>
      <w:bookmarkStart w:id="248" w:name="_Toc219207162"/>
      <w:bookmarkStart w:id="249" w:name="_Toc219207163"/>
      <w:bookmarkStart w:id="250" w:name="_Toc219207164"/>
      <w:bookmarkStart w:id="251" w:name="_Toc219207165"/>
      <w:bookmarkStart w:id="252" w:name="_Toc219207166"/>
      <w:bookmarkStart w:id="253" w:name="_Toc219207167"/>
      <w:bookmarkStart w:id="254" w:name="_Toc219207168"/>
      <w:bookmarkStart w:id="255" w:name="_Toc219207169"/>
      <w:bookmarkStart w:id="256" w:name="_Toc219207170"/>
      <w:bookmarkStart w:id="257" w:name="_Toc219207171"/>
      <w:bookmarkStart w:id="258" w:name="_Toc219207172"/>
      <w:bookmarkStart w:id="259" w:name="_Toc219207173"/>
      <w:bookmarkStart w:id="260" w:name="_Toc219207174"/>
      <w:bookmarkStart w:id="261" w:name="_Toc219207233"/>
      <w:bookmarkStart w:id="262" w:name="_Toc219207234"/>
      <w:bookmarkStart w:id="263" w:name="_Toc219207235"/>
      <w:bookmarkStart w:id="264" w:name="_Toc219207236"/>
      <w:bookmarkStart w:id="265" w:name="_Toc219207237"/>
      <w:bookmarkStart w:id="266" w:name="_Toc219207238"/>
      <w:bookmarkStart w:id="267" w:name="_Toc219207239"/>
      <w:bookmarkStart w:id="268" w:name="_Toc219207240"/>
      <w:bookmarkStart w:id="269" w:name="_Toc219207241"/>
      <w:bookmarkStart w:id="270" w:name="_Toc219207242"/>
      <w:bookmarkStart w:id="271" w:name="_Toc219884924"/>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r>
        <w:t>Sub-leasing</w:t>
      </w:r>
      <w:bookmarkEnd w:id="271"/>
    </w:p>
    <w:p w14:paraId="58925B3A" w14:textId="66DDFF22" w:rsidR="00BB2478" w:rsidRDefault="00BB2478" w:rsidP="0019309F">
      <w:pPr>
        <w:pStyle w:val="Heading3"/>
        <w:jc w:val="left"/>
      </w:pPr>
      <w:bookmarkStart w:id="272" w:name="_Toc219884925"/>
      <w:r>
        <w:t>Issue</w:t>
      </w:r>
      <w:bookmarkEnd w:id="272"/>
    </w:p>
    <w:p w14:paraId="3A93C6A8" w14:textId="01CD930A" w:rsidR="00457AA4" w:rsidRDefault="006B0605" w:rsidP="0019309F">
      <w:pPr>
        <w:pStyle w:val="BodyText"/>
        <w:jc w:val="left"/>
      </w:pPr>
      <w:r>
        <w:t xml:space="preserve">LGIRS is seeking </w:t>
      </w:r>
      <w:r w:rsidR="00C95950">
        <w:t>feedback on whether</w:t>
      </w:r>
      <w:r>
        <w:t xml:space="preserve"> prohibitions imposed by a park operator on a long-stay tenant subleasing their home </w:t>
      </w:r>
      <w:r w:rsidR="00681FB3">
        <w:t xml:space="preserve">to another person </w:t>
      </w:r>
      <w:r>
        <w:t xml:space="preserve">are </w:t>
      </w:r>
      <w:r w:rsidR="00C95950">
        <w:t>appropriate</w:t>
      </w:r>
      <w:r w:rsidR="00457AA4">
        <w:t xml:space="preserve">. </w:t>
      </w:r>
    </w:p>
    <w:p w14:paraId="14A05E7A" w14:textId="5BE4FE52" w:rsidR="00681FB3" w:rsidRDefault="00457AA4" w:rsidP="0019309F">
      <w:pPr>
        <w:pStyle w:val="BodyText"/>
        <w:jc w:val="left"/>
      </w:pPr>
      <w:r>
        <w:t xml:space="preserve">There could be circumstances </w:t>
      </w:r>
      <w:r w:rsidR="00C95950">
        <w:t xml:space="preserve">where a </w:t>
      </w:r>
      <w:r>
        <w:t>home is not occupied</w:t>
      </w:r>
      <w:r w:rsidR="00C95950">
        <w:t xml:space="preserve">, for example following the death of the tenant or where a tenant moves to aged </w:t>
      </w:r>
      <w:r w:rsidR="004D446A">
        <w:t>care but</w:t>
      </w:r>
      <w:r w:rsidR="00C95950">
        <w:t xml:space="preserve"> cannot be sublet due to restrictions in the long-stay agreement. In these cases, the tenant (or their representative) would be required to continue to pay rent and other tenancy costs while the home is being prepared for sale. </w:t>
      </w:r>
      <w:r w:rsidR="00EF7711">
        <w:rPr>
          <w:rStyle w:val="FootnoteReference"/>
        </w:rPr>
        <w:footnoteReference w:id="78"/>
      </w:r>
    </w:p>
    <w:p w14:paraId="7E424199" w14:textId="7AFD7550" w:rsidR="006B0605" w:rsidRDefault="006B0605" w:rsidP="0019309F">
      <w:pPr>
        <w:pStyle w:val="Heading3"/>
        <w:jc w:val="left"/>
      </w:pPr>
      <w:bookmarkStart w:id="273" w:name="_Toc219884926"/>
      <w:r>
        <w:t xml:space="preserve">Current </w:t>
      </w:r>
      <w:r w:rsidR="00D62A5D">
        <w:t>r</w:t>
      </w:r>
      <w:r>
        <w:t>equirements</w:t>
      </w:r>
      <w:bookmarkEnd w:id="273"/>
    </w:p>
    <w:p w14:paraId="4C86CC80" w14:textId="40633BA2" w:rsidR="004D446A" w:rsidRDefault="006B0605" w:rsidP="0019309F">
      <w:pPr>
        <w:pStyle w:val="BodyText"/>
        <w:jc w:val="left"/>
      </w:pPr>
      <w:r>
        <w:t xml:space="preserve">The Act </w:t>
      </w:r>
      <w:r w:rsidR="004D446A">
        <w:t xml:space="preserve">provides </w:t>
      </w:r>
      <w:r w:rsidR="000D3E8C">
        <w:t xml:space="preserve">that </w:t>
      </w:r>
      <w:r w:rsidR="00681FB3">
        <w:t>a</w:t>
      </w:r>
      <w:r w:rsidR="004D446A">
        <w:t xml:space="preserve"> long-stay agreement may provide that the long stay tenant:</w:t>
      </w:r>
    </w:p>
    <w:p w14:paraId="649E207B" w14:textId="584DD8CA" w:rsidR="004D446A" w:rsidRDefault="004D446A" w:rsidP="0019309F">
      <w:pPr>
        <w:pStyle w:val="Bullet1"/>
        <w:jc w:val="left"/>
      </w:pPr>
      <w:r>
        <w:lastRenderedPageBreak/>
        <w:t>may sublet the premises;</w:t>
      </w:r>
    </w:p>
    <w:p w14:paraId="1F91C29D" w14:textId="49F19F2A" w:rsidR="004D446A" w:rsidRDefault="004D446A" w:rsidP="0019309F">
      <w:pPr>
        <w:pStyle w:val="Bullet1"/>
        <w:jc w:val="left"/>
      </w:pPr>
      <w:r>
        <w:t>may sublet the premises with the consent of the park operator (this consent cannot be unreasonably withheld); or</w:t>
      </w:r>
    </w:p>
    <w:p w14:paraId="02026D35" w14:textId="4ED6DB13" w:rsidR="004D446A" w:rsidRDefault="004D446A" w:rsidP="0019309F">
      <w:pPr>
        <w:pStyle w:val="Bullet1"/>
        <w:jc w:val="left"/>
      </w:pPr>
      <w:r>
        <w:t xml:space="preserve">cannot sublet the premises. </w:t>
      </w:r>
      <w:r w:rsidR="00681FB3">
        <w:rPr>
          <w:rStyle w:val="FootnoteReference"/>
        </w:rPr>
        <w:footnoteReference w:id="79"/>
      </w:r>
    </w:p>
    <w:p w14:paraId="6CD8E832" w14:textId="2244718B" w:rsidR="004D446A" w:rsidRDefault="004D446A" w:rsidP="0019309F">
      <w:pPr>
        <w:pStyle w:val="BodyText"/>
        <w:jc w:val="left"/>
      </w:pPr>
      <w:r>
        <w:t>If the long-stay agreement does not include a specific provision, then it is a term of the agreement that the tenant can sublet the premises with the consent of the park operator.</w:t>
      </w:r>
    </w:p>
    <w:p w14:paraId="6F9744DF" w14:textId="5D7266DD" w:rsidR="00681FB3" w:rsidRDefault="00681FB3" w:rsidP="0019309F">
      <w:pPr>
        <w:pStyle w:val="Heading3"/>
        <w:jc w:val="left"/>
      </w:pPr>
      <w:bookmarkStart w:id="274" w:name="_Toc219884927"/>
      <w:r>
        <w:t>Feedback</w:t>
      </w:r>
      <w:bookmarkEnd w:id="274"/>
    </w:p>
    <w:p w14:paraId="10091E70" w14:textId="20C27973" w:rsidR="008E2C5C" w:rsidRDefault="00681FB3" w:rsidP="0019309F">
      <w:pPr>
        <w:pStyle w:val="BodyText"/>
        <w:jc w:val="left"/>
      </w:pPr>
      <w:r>
        <w:t xml:space="preserve">LGIRS requests </w:t>
      </w:r>
      <w:r w:rsidR="00EF7711">
        <w:t xml:space="preserve">feedback to determine </w:t>
      </w:r>
      <w:r w:rsidR="00457AA4">
        <w:t xml:space="preserve">whether </w:t>
      </w:r>
      <w:r w:rsidR="004D446A">
        <w:t>provision in</w:t>
      </w:r>
      <w:r w:rsidR="0006273C">
        <w:t xml:space="preserve"> the Act </w:t>
      </w:r>
      <w:r w:rsidR="004D446A">
        <w:t>about subleasing</w:t>
      </w:r>
      <w:r w:rsidR="0006273C">
        <w:t xml:space="preserve"> are appropriate.</w:t>
      </w:r>
      <w:r w:rsidR="00C30E41">
        <w:t xml:space="preserve"> </w:t>
      </w:r>
    </w:p>
    <w:tbl>
      <w:tblPr>
        <w:tblStyle w:val="TableGrid"/>
        <w:tblW w:w="0" w:type="auto"/>
        <w:tblLook w:val="04A0" w:firstRow="1" w:lastRow="0" w:firstColumn="1" w:lastColumn="0" w:noHBand="0" w:noVBand="1"/>
      </w:tblPr>
      <w:tblGrid>
        <w:gridCol w:w="9010"/>
      </w:tblGrid>
      <w:tr w:rsidR="0006273C" w14:paraId="1EF19339" w14:textId="77777777" w:rsidTr="00AD758D">
        <w:tc>
          <w:tcPr>
            <w:tcW w:w="9010" w:type="dxa"/>
          </w:tcPr>
          <w:p w14:paraId="2E0EDA43" w14:textId="4B391235" w:rsidR="0006273C" w:rsidRPr="005B6C74" w:rsidRDefault="0006273C" w:rsidP="0019309F">
            <w:pPr>
              <w:pStyle w:val="BodyText"/>
              <w:jc w:val="left"/>
              <w:rPr>
                <w:sz w:val="24"/>
              </w:rPr>
            </w:pPr>
            <w:r w:rsidRPr="00102521">
              <w:rPr>
                <w:b/>
                <w:bCs/>
                <w:sz w:val="24"/>
                <w:szCs w:val="28"/>
              </w:rPr>
              <w:t>Consultation questio</w:t>
            </w:r>
            <w:r w:rsidR="00102521">
              <w:rPr>
                <w:b/>
                <w:bCs/>
                <w:sz w:val="24"/>
                <w:szCs w:val="28"/>
              </w:rPr>
              <w:t>n</w:t>
            </w:r>
          </w:p>
          <w:p w14:paraId="0AD816DB" w14:textId="3AB7E81A" w:rsidR="0006273C" w:rsidRPr="00D936A7" w:rsidRDefault="0006273C" w:rsidP="0019309F">
            <w:pPr>
              <w:pStyle w:val="ListParagraph"/>
              <w:jc w:val="left"/>
            </w:pPr>
            <w:r w:rsidRPr="009C0A3C">
              <w:rPr>
                <w:sz w:val="24"/>
                <w:szCs w:val="32"/>
              </w:rPr>
              <w:t xml:space="preserve">Are current requirements with regard to subleasing a home </w:t>
            </w:r>
            <w:r w:rsidR="002C7297" w:rsidRPr="009C0A3C">
              <w:rPr>
                <w:sz w:val="24"/>
                <w:szCs w:val="32"/>
              </w:rPr>
              <w:t>appropriate</w:t>
            </w:r>
            <w:r w:rsidRPr="009C0A3C">
              <w:rPr>
                <w:sz w:val="24"/>
                <w:szCs w:val="32"/>
              </w:rPr>
              <w:t>?</w:t>
            </w:r>
            <w:r w:rsidR="002C7297" w:rsidRPr="009C0A3C">
              <w:rPr>
                <w:sz w:val="24"/>
                <w:szCs w:val="32"/>
              </w:rPr>
              <w:t xml:space="preserve"> Are changes required</w:t>
            </w:r>
            <w:r w:rsidR="00102521" w:rsidRPr="009C0A3C">
              <w:rPr>
                <w:sz w:val="24"/>
                <w:szCs w:val="32"/>
              </w:rPr>
              <w:t>?</w:t>
            </w:r>
          </w:p>
        </w:tc>
      </w:tr>
    </w:tbl>
    <w:p w14:paraId="7CBFA3BA" w14:textId="5ACD1E8E" w:rsidR="00BB2478" w:rsidRPr="00BB2478" w:rsidRDefault="00D3067F" w:rsidP="0019309F">
      <w:pPr>
        <w:pStyle w:val="Heading2"/>
        <w:jc w:val="left"/>
      </w:pPr>
      <w:bookmarkStart w:id="275" w:name="_Toc219207248"/>
      <w:bookmarkStart w:id="276" w:name="_Toc219207249"/>
      <w:bookmarkStart w:id="277" w:name="_Toc219207250"/>
      <w:bookmarkStart w:id="278" w:name="_Toc219207251"/>
      <w:bookmarkStart w:id="279" w:name="_Toc219884928"/>
      <w:bookmarkEnd w:id="275"/>
      <w:bookmarkEnd w:id="276"/>
      <w:bookmarkEnd w:id="277"/>
      <w:bookmarkEnd w:id="278"/>
      <w:r>
        <w:t>Compensation</w:t>
      </w:r>
      <w:bookmarkEnd w:id="279"/>
    </w:p>
    <w:p w14:paraId="6ADC1605" w14:textId="45B481B4" w:rsidR="00F42ADE" w:rsidRDefault="00F42ADE" w:rsidP="0019309F">
      <w:pPr>
        <w:pStyle w:val="Heading3"/>
        <w:jc w:val="left"/>
      </w:pPr>
      <w:bookmarkStart w:id="280" w:name="_Toc219884929"/>
      <w:r>
        <w:t>Issue</w:t>
      </w:r>
      <w:bookmarkEnd w:id="280"/>
    </w:p>
    <w:p w14:paraId="27EDDFB4" w14:textId="349780ED" w:rsidR="00912037" w:rsidRDefault="000D3E8C" w:rsidP="0019309F">
      <w:pPr>
        <w:pStyle w:val="BodyText"/>
        <w:jc w:val="left"/>
      </w:pPr>
      <w:r>
        <w:t xml:space="preserve">In preliminary consultation, and in the context of complaints to LGIRS about park closures, tenants and tenant representatives have suggested that </w:t>
      </w:r>
      <w:r w:rsidR="00A24C68" w:rsidRPr="009C59F6">
        <w:t xml:space="preserve">current provisions regarding </w:t>
      </w:r>
      <w:r w:rsidR="003E151A" w:rsidRPr="009C59F6">
        <w:t xml:space="preserve">eligibility of long-stay tenants to </w:t>
      </w:r>
      <w:r w:rsidR="00912037" w:rsidRPr="009C59F6">
        <w:t>compensation to assist</w:t>
      </w:r>
      <w:r w:rsidR="00912037">
        <w:t xml:space="preserve"> </w:t>
      </w:r>
      <w:r w:rsidR="003E151A">
        <w:t>them</w:t>
      </w:r>
      <w:r w:rsidR="00912037">
        <w:t xml:space="preserve"> vacate </w:t>
      </w:r>
      <w:r w:rsidR="003E151A">
        <w:t>a residential park require improvement</w:t>
      </w:r>
      <w:r w:rsidR="00E50485">
        <w:t xml:space="preserve">. Additionally, </w:t>
      </w:r>
      <w:r w:rsidR="00D056CF">
        <w:t>assistance may be required to help</w:t>
      </w:r>
      <w:r w:rsidR="00E50485">
        <w:t xml:space="preserve"> park operators and long-stay tenants </w:t>
      </w:r>
      <w:r w:rsidR="00D30A99">
        <w:t xml:space="preserve">to determine </w:t>
      </w:r>
      <w:r w:rsidR="00E50485">
        <w:t xml:space="preserve">a </w:t>
      </w:r>
      <w:r w:rsidR="00D056CF">
        <w:t xml:space="preserve">reasonable </w:t>
      </w:r>
      <w:r w:rsidR="00E50485">
        <w:t>compensation amount</w:t>
      </w:r>
      <w:r w:rsidR="00243A5C">
        <w:t>.</w:t>
      </w:r>
    </w:p>
    <w:p w14:paraId="638677CF" w14:textId="500E2FAF" w:rsidR="00F42ADE" w:rsidRPr="00F42ADE" w:rsidRDefault="00912037" w:rsidP="0019309F">
      <w:pPr>
        <w:pStyle w:val="Heading3"/>
        <w:jc w:val="left"/>
      </w:pPr>
      <w:bookmarkStart w:id="281" w:name="_Toc219884930"/>
      <w:r w:rsidRPr="00DF2D17">
        <w:t>Current requirements</w:t>
      </w:r>
      <w:bookmarkEnd w:id="281"/>
    </w:p>
    <w:p w14:paraId="4BCCA17D" w14:textId="5E1B6F3E" w:rsidR="006B7F63" w:rsidRDefault="006B7F63" w:rsidP="0019309F">
      <w:pPr>
        <w:pStyle w:val="BodyText"/>
        <w:jc w:val="left"/>
      </w:pPr>
      <w:r>
        <w:t xml:space="preserve">The </w:t>
      </w:r>
      <w:r w:rsidR="000D3E8C">
        <w:t xml:space="preserve">eligibility for </w:t>
      </w:r>
      <w:r>
        <w:t>compensation</w:t>
      </w:r>
      <w:r w:rsidR="00D03EA9">
        <w:t xml:space="preserve"> under the Act </w:t>
      </w:r>
      <w:r w:rsidR="000D3E8C">
        <w:t>is</w:t>
      </w:r>
      <w:r>
        <w:t xml:space="preserve"> limited to long-stay tenants with a fixed-term site agreement, where the park operator requires the tenant to vacate due to:</w:t>
      </w:r>
    </w:p>
    <w:p w14:paraId="045C1E9E" w14:textId="5FB9F27D" w:rsidR="006B7F63" w:rsidRDefault="006B7F63" w:rsidP="0019309F">
      <w:pPr>
        <w:pStyle w:val="Bullet1"/>
        <w:jc w:val="left"/>
      </w:pPr>
      <w:r>
        <w:t>sale of the park</w:t>
      </w:r>
      <w:r w:rsidR="00D056CF">
        <w:t xml:space="preserve">; </w:t>
      </w:r>
    </w:p>
    <w:p w14:paraId="33AF0970" w14:textId="4A47BD6A" w:rsidR="00243A5C" w:rsidRDefault="006B7F63" w:rsidP="0019309F">
      <w:pPr>
        <w:pStyle w:val="Bullet1"/>
        <w:jc w:val="left"/>
      </w:pPr>
      <w:r>
        <w:t xml:space="preserve">the long-stay agreement </w:t>
      </w:r>
      <w:r w:rsidR="00243A5C">
        <w:t xml:space="preserve">being </w:t>
      </w:r>
      <w:r>
        <w:t xml:space="preserve">‘frustrated’ (for example, a natural disaster </w:t>
      </w:r>
      <w:r w:rsidR="00243A5C">
        <w:t xml:space="preserve">closing the park </w:t>
      </w:r>
      <w:r w:rsidR="009568F8">
        <w:t xml:space="preserve">or the </w:t>
      </w:r>
      <w:r w:rsidR="00243A5C">
        <w:t xml:space="preserve">cancellation of a </w:t>
      </w:r>
      <w:r w:rsidR="009568F8">
        <w:t>park licence</w:t>
      </w:r>
      <w:r>
        <w:t>);</w:t>
      </w:r>
      <w:r w:rsidR="00426EA6">
        <w:t xml:space="preserve"> or</w:t>
      </w:r>
    </w:p>
    <w:p w14:paraId="2CBA6116" w14:textId="7B988AB6" w:rsidR="006B7F63" w:rsidRDefault="00564D60" w:rsidP="0019309F">
      <w:pPr>
        <w:pStyle w:val="Bullet1"/>
        <w:jc w:val="left"/>
      </w:pPr>
      <w:r>
        <w:t>an order for termination on the ground that the park operator will experience hardship if required to terminate using another provision of the Act</w:t>
      </w:r>
      <w:r w:rsidR="00D62A5D">
        <w:t>.</w:t>
      </w:r>
      <w:r>
        <w:rPr>
          <w:rStyle w:val="FootnoteReference"/>
        </w:rPr>
        <w:footnoteReference w:id="80"/>
      </w:r>
    </w:p>
    <w:p w14:paraId="7955A87C" w14:textId="3F39D4A4" w:rsidR="006B7F63" w:rsidRPr="00AB79FB" w:rsidRDefault="006B7F63" w:rsidP="0019309F">
      <w:pPr>
        <w:pStyle w:val="BodyText"/>
        <w:jc w:val="left"/>
      </w:pPr>
      <w:r>
        <w:t xml:space="preserve">The Act does not require compensation to be </w:t>
      </w:r>
      <w:r w:rsidR="00DE6F5C">
        <w:t xml:space="preserve">paid </w:t>
      </w:r>
      <w:r>
        <w:t>in other situations</w:t>
      </w:r>
      <w:r w:rsidR="009568F8">
        <w:t xml:space="preserve">, for example, termination of </w:t>
      </w:r>
      <w:r>
        <w:t xml:space="preserve">periodic </w:t>
      </w:r>
      <w:r w:rsidR="009568F8">
        <w:t>long-stay agreements</w:t>
      </w:r>
      <w:r>
        <w:t>.</w:t>
      </w:r>
    </w:p>
    <w:p w14:paraId="6EE9FAC5" w14:textId="260E5823" w:rsidR="00B86004" w:rsidRDefault="00A2386D" w:rsidP="0019309F">
      <w:pPr>
        <w:pStyle w:val="BodyText"/>
        <w:jc w:val="left"/>
      </w:pPr>
      <w:r>
        <w:lastRenderedPageBreak/>
        <w:t xml:space="preserve">The </w:t>
      </w:r>
      <w:r w:rsidR="00166DDB">
        <w:t xml:space="preserve">Act requires long-stay tenants and park operators to agree on a </w:t>
      </w:r>
      <w:r w:rsidR="002D580C">
        <w:t>compensation amount</w:t>
      </w:r>
      <w:r w:rsidR="00CB3B2D">
        <w:t xml:space="preserve"> which is </w:t>
      </w:r>
      <w:r w:rsidR="000D3E8C">
        <w:t xml:space="preserve">to be </w:t>
      </w:r>
      <w:r w:rsidR="00CB3B2D">
        <w:t xml:space="preserve">based on loss </w:t>
      </w:r>
      <w:r w:rsidR="00D056CF">
        <w:t xml:space="preserve">that will be </w:t>
      </w:r>
      <w:r w:rsidR="00CB3B2D">
        <w:t xml:space="preserve">incurred by the long-stay tenant. If the parties cannot agree on </w:t>
      </w:r>
      <w:r w:rsidR="006D39C8">
        <w:t>a compensation amount, the</w:t>
      </w:r>
      <w:r w:rsidR="002D029F">
        <w:t>y can apply to the S</w:t>
      </w:r>
      <w:r w:rsidR="000918EF">
        <w:t>AT.</w:t>
      </w:r>
      <w:r w:rsidR="009568F8">
        <w:t xml:space="preserve"> </w:t>
      </w:r>
      <w:r w:rsidR="00D62A5D">
        <w:t xml:space="preserve">The </w:t>
      </w:r>
      <w:r w:rsidR="000918EF">
        <w:t xml:space="preserve">SAT </w:t>
      </w:r>
      <w:r w:rsidR="00416E26">
        <w:t>will have regard to relocation costs, transport costs</w:t>
      </w:r>
      <w:r w:rsidR="00F975D8">
        <w:t>, financial loss, the cost to erecting the home at another location and any prescribed matter</w:t>
      </w:r>
      <w:r w:rsidR="00D62A5D">
        <w:t>.</w:t>
      </w:r>
      <w:r w:rsidR="00F975D8">
        <w:rPr>
          <w:rStyle w:val="FootnoteReference"/>
        </w:rPr>
        <w:footnoteReference w:id="81"/>
      </w:r>
      <w:r w:rsidR="002D580C">
        <w:t xml:space="preserve"> </w:t>
      </w:r>
    </w:p>
    <w:p w14:paraId="08E4673B" w14:textId="77777777" w:rsidR="00DE6F5C" w:rsidRDefault="00BF6486" w:rsidP="0019309F">
      <w:pPr>
        <w:pStyle w:val="BodyText"/>
        <w:jc w:val="left"/>
      </w:pPr>
      <w:r>
        <w:t>Provisions in o</w:t>
      </w:r>
      <w:r w:rsidR="002705A9">
        <w:t xml:space="preserve">ther jurisdictions </w:t>
      </w:r>
      <w:r>
        <w:t xml:space="preserve">vary </w:t>
      </w:r>
      <w:r w:rsidR="002705A9">
        <w:t xml:space="preserve">on </w:t>
      </w:r>
      <w:r w:rsidR="00A13C72">
        <w:t>the grounds for</w:t>
      </w:r>
      <w:r w:rsidR="000918EF">
        <w:t xml:space="preserve"> compensation</w:t>
      </w:r>
      <w:r>
        <w:t>,</w:t>
      </w:r>
      <w:r w:rsidR="00CF41C6">
        <w:t xml:space="preserve"> when it </w:t>
      </w:r>
      <w:r w:rsidR="00021701">
        <w:t>must</w:t>
      </w:r>
      <w:r w:rsidR="00CF41C6">
        <w:t xml:space="preserve"> be paid and the basis</w:t>
      </w:r>
      <w:r w:rsidR="000918EF">
        <w:t xml:space="preserve"> for </w:t>
      </w:r>
      <w:r w:rsidR="00A13C72">
        <w:t>determining</w:t>
      </w:r>
      <w:r w:rsidR="000918EF">
        <w:t xml:space="preserve"> the amount.</w:t>
      </w:r>
      <w:r w:rsidR="005804B6">
        <w:t xml:space="preserve"> </w:t>
      </w:r>
    </w:p>
    <w:p w14:paraId="7998FC81" w14:textId="0F57FF79" w:rsidR="00AA23C7" w:rsidRDefault="00FD729F" w:rsidP="0019309F">
      <w:pPr>
        <w:pStyle w:val="BodyText"/>
        <w:jc w:val="left"/>
      </w:pPr>
      <w:r>
        <w:t xml:space="preserve">In </w:t>
      </w:r>
      <w:r w:rsidR="00C65BE7">
        <w:t>QLD</w:t>
      </w:r>
      <w:r w:rsidR="00DA5DD1">
        <w:t xml:space="preserve">, </w:t>
      </w:r>
      <w:r w:rsidR="00AA23C7">
        <w:t xml:space="preserve">the Tribunal may make an order for compensation </w:t>
      </w:r>
      <w:r w:rsidR="007B7DBF">
        <w:t xml:space="preserve">if an order </w:t>
      </w:r>
      <w:r w:rsidR="00AA23C7">
        <w:t xml:space="preserve">for termination </w:t>
      </w:r>
      <w:r w:rsidR="007B7DBF">
        <w:t xml:space="preserve">is </w:t>
      </w:r>
      <w:r w:rsidR="00AA23C7">
        <w:t xml:space="preserve">made </w:t>
      </w:r>
      <w:r w:rsidR="007B7DBF">
        <w:t xml:space="preserve">in circumstances </w:t>
      </w:r>
      <w:r w:rsidR="00AA23C7">
        <w:t>where:</w:t>
      </w:r>
    </w:p>
    <w:p w14:paraId="1434E0EB" w14:textId="5823E5EA" w:rsidR="00AA23C7" w:rsidRDefault="007B7DBF" w:rsidP="0019309F">
      <w:pPr>
        <w:pStyle w:val="Bullet1"/>
        <w:jc w:val="left"/>
      </w:pPr>
      <w:r>
        <w:t>the</w:t>
      </w:r>
      <w:r w:rsidR="001166A7">
        <w:t xml:space="preserve"> long-stay tenant must vacate the park due to </w:t>
      </w:r>
      <w:r w:rsidR="00A0445D">
        <w:t xml:space="preserve">it being used for </w:t>
      </w:r>
      <w:r w:rsidR="004D7DFC">
        <w:t>a</w:t>
      </w:r>
      <w:r w:rsidR="00A0445D">
        <w:t xml:space="preserve"> purpose</w:t>
      </w:r>
      <w:r w:rsidR="00AA5CC4">
        <w:t xml:space="preserve"> o</w:t>
      </w:r>
      <w:r w:rsidR="004D7DFC">
        <w:t>ther</w:t>
      </w:r>
      <w:r w:rsidR="00AA5CC4">
        <w:t xml:space="preserve"> than a residential park</w:t>
      </w:r>
      <w:r w:rsidR="00AA23C7">
        <w:t xml:space="preserve"> (compensation is paid to the tenant); or</w:t>
      </w:r>
    </w:p>
    <w:p w14:paraId="763CAC15" w14:textId="2D960DF9" w:rsidR="00AA23C7" w:rsidRDefault="00AA23C7" w:rsidP="0019309F">
      <w:pPr>
        <w:pStyle w:val="Bullet1"/>
        <w:jc w:val="left"/>
      </w:pPr>
      <w:r>
        <w:t>the tenancy is terminated due to the conduct of the tenant (compensation is paid to the operator).</w:t>
      </w:r>
    </w:p>
    <w:p w14:paraId="06B3136D" w14:textId="3EB05DF0" w:rsidR="00DE6F5C" w:rsidRDefault="002F7CAA" w:rsidP="0019309F">
      <w:pPr>
        <w:pStyle w:val="BodyText"/>
        <w:jc w:val="left"/>
      </w:pPr>
      <w:r>
        <w:t xml:space="preserve">The Tribunal may consider </w:t>
      </w:r>
      <w:r w:rsidR="009A530F">
        <w:t xml:space="preserve">various factors impacting the </w:t>
      </w:r>
      <w:r w:rsidR="00855864">
        <w:t xml:space="preserve">value of the home and </w:t>
      </w:r>
      <w:r w:rsidR="00A13C72">
        <w:t xml:space="preserve">the </w:t>
      </w:r>
      <w:r w:rsidR="00855864">
        <w:t>cost to relocate</w:t>
      </w:r>
      <w:r w:rsidR="00B0694D">
        <w:t>.</w:t>
      </w:r>
      <w:r w:rsidR="00B0694D">
        <w:rPr>
          <w:rStyle w:val="FootnoteReference"/>
        </w:rPr>
        <w:footnoteReference w:id="82"/>
      </w:r>
      <w:r w:rsidR="00F71BD7">
        <w:t xml:space="preserve"> </w:t>
      </w:r>
    </w:p>
    <w:p w14:paraId="3CAC997C" w14:textId="4F6E134B" w:rsidR="00DE6F5C" w:rsidRDefault="00C65BE7" w:rsidP="0019309F">
      <w:pPr>
        <w:pStyle w:val="BodyText"/>
        <w:jc w:val="left"/>
      </w:pPr>
      <w:r>
        <w:t>NSW</w:t>
      </w:r>
      <w:r w:rsidR="000A6A43">
        <w:t xml:space="preserve"> also has wide grounds for compensation </w:t>
      </w:r>
      <w:r w:rsidR="00D056CF">
        <w:t xml:space="preserve">which is </w:t>
      </w:r>
      <w:r w:rsidR="00BF6486">
        <w:t>potentially</w:t>
      </w:r>
      <w:r w:rsidR="000D3E8C">
        <w:t xml:space="preserve"> to</w:t>
      </w:r>
      <w:r w:rsidR="00BF6486">
        <w:t xml:space="preserve"> be paid in </w:t>
      </w:r>
      <w:r w:rsidR="000A6A43">
        <w:t xml:space="preserve">all circumstances </w:t>
      </w:r>
      <w:r w:rsidR="00BF6486">
        <w:t xml:space="preserve">where </w:t>
      </w:r>
      <w:r w:rsidR="000A6A43">
        <w:t>the operator provides a termination notice</w:t>
      </w:r>
      <w:r w:rsidR="00BF6486">
        <w:t>,</w:t>
      </w:r>
      <w:r w:rsidR="000A6A43">
        <w:t xml:space="preserve"> other than </w:t>
      </w:r>
      <w:r w:rsidR="00D056CF">
        <w:t xml:space="preserve">termination </w:t>
      </w:r>
      <w:r w:rsidR="000A6A43">
        <w:t xml:space="preserve">for serious or persistent breaches of the agreement by the </w:t>
      </w:r>
      <w:r w:rsidR="00590F18">
        <w:t>homeowner</w:t>
      </w:r>
      <w:r w:rsidR="00E21129">
        <w:t xml:space="preserve"> or serious misconduct</w:t>
      </w:r>
      <w:r w:rsidR="00D62A5D">
        <w:t>.</w:t>
      </w:r>
      <w:r w:rsidR="00E21129">
        <w:rPr>
          <w:rStyle w:val="FootnoteReference"/>
        </w:rPr>
        <w:footnoteReference w:id="83"/>
      </w:r>
      <w:r w:rsidR="00DC1A2B">
        <w:t xml:space="preserve"> Compensation is not payable at the end of a fixed-term agreement </w:t>
      </w:r>
      <w:r w:rsidR="000D3E8C">
        <w:t xml:space="preserve">if </w:t>
      </w:r>
      <w:r w:rsidR="00DC1A2B">
        <w:t>the operator does not renew or provide the tenant with a new lease.</w:t>
      </w:r>
    </w:p>
    <w:p w14:paraId="6777C777" w14:textId="5763247F" w:rsidR="00FD3F37" w:rsidRDefault="00F71BD7" w:rsidP="0019309F">
      <w:pPr>
        <w:pStyle w:val="BodyText"/>
        <w:jc w:val="left"/>
      </w:pPr>
      <w:r w:rsidRPr="00232F70">
        <w:t xml:space="preserve">In </w:t>
      </w:r>
      <w:r w:rsidR="00C65BE7">
        <w:t>NSW</w:t>
      </w:r>
      <w:r w:rsidRPr="00232F70">
        <w:t>,</w:t>
      </w:r>
      <w:r w:rsidR="0009031B">
        <w:t xml:space="preserve"> the amount of</w:t>
      </w:r>
      <w:r>
        <w:t xml:space="preserve"> compensation </w:t>
      </w:r>
      <w:r w:rsidR="0009031B">
        <w:t xml:space="preserve">payable by an operator differs </w:t>
      </w:r>
      <w:r w:rsidR="00BF6486">
        <w:t xml:space="preserve">depending on whether </w:t>
      </w:r>
      <w:r w:rsidR="0009031B">
        <w:t xml:space="preserve">the </w:t>
      </w:r>
      <w:r w:rsidR="00590F18">
        <w:t>homeowner</w:t>
      </w:r>
      <w:r w:rsidR="0009031B">
        <w:t xml:space="preserve"> decides to relocate to another park</w:t>
      </w:r>
      <w:r w:rsidR="00590F18">
        <w:t xml:space="preserve"> or not</w:t>
      </w:r>
      <w:r w:rsidR="00F50E93">
        <w:t xml:space="preserve">. If the </w:t>
      </w:r>
      <w:r w:rsidR="00590F18">
        <w:t>homeowner</w:t>
      </w:r>
      <w:r w:rsidR="00F50E93">
        <w:t xml:space="preserve"> decides to relocate, the operator must pay for reasonable costs </w:t>
      </w:r>
      <w:r w:rsidR="00D056CF">
        <w:t>of removing</w:t>
      </w:r>
      <w:r w:rsidR="00F50E93">
        <w:t xml:space="preserve"> the home, transport</w:t>
      </w:r>
      <w:r w:rsidR="00385C05">
        <w:t>ing</w:t>
      </w:r>
      <w:r w:rsidR="00F50E93">
        <w:t xml:space="preserve"> it</w:t>
      </w:r>
      <w:r w:rsidR="00385C05">
        <w:t xml:space="preserve"> and i</w:t>
      </w:r>
      <w:r w:rsidR="00F50E93">
        <w:t>nstall</w:t>
      </w:r>
      <w:r w:rsidR="00D056CF">
        <w:t>ing</w:t>
      </w:r>
      <w:r w:rsidR="00F50E93">
        <w:t xml:space="preserve"> the home at the new site and </w:t>
      </w:r>
      <w:r w:rsidR="00BF6486">
        <w:t xml:space="preserve">also the cost of </w:t>
      </w:r>
      <w:r w:rsidR="00F50E93">
        <w:t>fix</w:t>
      </w:r>
      <w:r w:rsidR="00385C05">
        <w:t>ing</w:t>
      </w:r>
      <w:r w:rsidR="00F50E93">
        <w:t xml:space="preserve"> any </w:t>
      </w:r>
      <w:r w:rsidR="00385C05">
        <w:t xml:space="preserve">damage </w:t>
      </w:r>
      <w:r w:rsidR="00F50E93">
        <w:t xml:space="preserve">incurred </w:t>
      </w:r>
      <w:r w:rsidR="00385C05">
        <w:t>during</w:t>
      </w:r>
      <w:r w:rsidR="00F50E93">
        <w:t xml:space="preserve"> transit. These </w:t>
      </w:r>
      <w:r w:rsidR="00BF6486">
        <w:t xml:space="preserve">requirements </w:t>
      </w:r>
      <w:r w:rsidR="00F50E93">
        <w:t xml:space="preserve">apply </w:t>
      </w:r>
      <w:r w:rsidR="00BF6486">
        <w:t xml:space="preserve">whether or not </w:t>
      </w:r>
      <w:r w:rsidR="00F50E93">
        <w:t xml:space="preserve">the parties have an agreement in place that </w:t>
      </w:r>
      <w:r w:rsidR="00BF6486">
        <w:t xml:space="preserve">provides for payment of </w:t>
      </w:r>
      <w:r w:rsidR="00385C05">
        <w:t>compensation.</w:t>
      </w:r>
      <w:r w:rsidR="000A6A43">
        <w:t xml:space="preserve"> </w:t>
      </w:r>
      <w:r w:rsidR="00F50E93">
        <w:t xml:space="preserve">However, if the </w:t>
      </w:r>
      <w:r w:rsidR="00590F18">
        <w:t>homeowner</w:t>
      </w:r>
      <w:r w:rsidR="00F50E93">
        <w:t xml:space="preserve"> does not relocate the home, the compensation amount may be determined by</w:t>
      </w:r>
      <w:r w:rsidR="00385C05">
        <w:t xml:space="preserve"> the long-stay agreement. If the agreement does not outline the amount or method</w:t>
      </w:r>
      <w:r w:rsidR="00F50E93">
        <w:t xml:space="preserve"> </w:t>
      </w:r>
      <w:r w:rsidR="00385C05">
        <w:t xml:space="preserve">to determining compensation, </w:t>
      </w:r>
      <w:r w:rsidR="00E92593">
        <w:t>compensation is payable by the park operator in advance</w:t>
      </w:r>
      <w:r w:rsidR="000D3E8C">
        <w:t>,</w:t>
      </w:r>
      <w:r w:rsidR="00E92593">
        <w:t xml:space="preserve"> </w:t>
      </w:r>
      <w:r w:rsidR="00BF6486">
        <w:t xml:space="preserve">and the amount is </w:t>
      </w:r>
      <w:r w:rsidR="00200D6D">
        <w:t>determined by</w:t>
      </w:r>
      <w:r w:rsidR="006F168F">
        <w:t xml:space="preserve"> specific</w:t>
      </w:r>
      <w:r w:rsidR="00BE7AD2">
        <w:t xml:space="preserve"> </w:t>
      </w:r>
      <w:r w:rsidR="004D7DFC">
        <w:t>factors</w:t>
      </w:r>
      <w:r w:rsidR="00D6013B">
        <w:t xml:space="preserve"> </w:t>
      </w:r>
      <w:r w:rsidR="00200D6D">
        <w:t xml:space="preserve">listed </w:t>
      </w:r>
      <w:r w:rsidR="009568F8">
        <w:t>in the Act</w:t>
      </w:r>
      <w:r w:rsidR="005A4F40">
        <w:t>.</w:t>
      </w:r>
      <w:r w:rsidR="00C30E41">
        <w:t xml:space="preserve"> </w:t>
      </w:r>
      <w:r w:rsidR="005A4F40">
        <w:t>These include</w:t>
      </w:r>
      <w:r w:rsidR="009568F8">
        <w:t xml:space="preserve"> </w:t>
      </w:r>
      <w:r w:rsidR="00D6013B">
        <w:t>the</w:t>
      </w:r>
      <w:r w:rsidR="008517CD">
        <w:t xml:space="preserve"> loss of residency</w:t>
      </w:r>
      <w:r w:rsidR="00385C05">
        <w:t xml:space="preserve"> (that references the on-site market value of the home) and the </w:t>
      </w:r>
      <w:r w:rsidR="000A6A43">
        <w:t>relocation (includes the cost of moving)</w:t>
      </w:r>
      <w:r w:rsidR="00D6013B">
        <w:t>.</w:t>
      </w:r>
      <w:r w:rsidR="00B05C75">
        <w:t xml:space="preserve"> Either party may apply to the Tribunal for </w:t>
      </w:r>
      <w:r w:rsidR="00D66D7A">
        <w:t>an order</w:t>
      </w:r>
      <w:r w:rsidR="000A6A43">
        <w:t xml:space="preserve"> to resolve a dispute involving</w:t>
      </w:r>
      <w:r w:rsidR="00200D6D">
        <w:t xml:space="preserve"> </w:t>
      </w:r>
      <w:r w:rsidR="00D66D7A">
        <w:t>compensation.</w:t>
      </w:r>
      <w:r w:rsidR="00D66D7A">
        <w:rPr>
          <w:rStyle w:val="FootnoteReference"/>
        </w:rPr>
        <w:footnoteReference w:id="84"/>
      </w:r>
    </w:p>
    <w:p w14:paraId="3E3BC806" w14:textId="2964DA9D" w:rsidR="00F42ADE" w:rsidRPr="00F42ADE" w:rsidRDefault="005463D0" w:rsidP="0019309F">
      <w:pPr>
        <w:pStyle w:val="Heading3"/>
        <w:jc w:val="left"/>
      </w:pPr>
      <w:bookmarkStart w:id="282" w:name="_Toc219884931"/>
      <w:r>
        <w:lastRenderedPageBreak/>
        <w:t>Feedback</w:t>
      </w:r>
      <w:bookmarkEnd w:id="282"/>
    </w:p>
    <w:p w14:paraId="682DD8C0" w14:textId="2CD6FB87" w:rsidR="00912037" w:rsidRDefault="005A4F40" w:rsidP="0019309F">
      <w:pPr>
        <w:pStyle w:val="BodyText"/>
        <w:jc w:val="left"/>
      </w:pPr>
      <w:r>
        <w:t xml:space="preserve">Relocatable homes can be expensive to move, particularly if they are large or their condition has deteriorated. </w:t>
      </w:r>
      <w:r w:rsidR="00647AB8">
        <w:t xml:space="preserve">Long-stay tenants </w:t>
      </w:r>
      <w:r w:rsidR="004A65CB">
        <w:t xml:space="preserve">with </w:t>
      </w:r>
      <w:r w:rsidR="00021701">
        <w:t>their own relocatable homes</w:t>
      </w:r>
      <w:r w:rsidR="004A65CB">
        <w:t xml:space="preserve"> </w:t>
      </w:r>
      <w:r w:rsidR="00647AB8">
        <w:t xml:space="preserve">may require </w:t>
      </w:r>
      <w:r w:rsidR="005222C5">
        <w:t xml:space="preserve">greater clarity </w:t>
      </w:r>
      <w:r w:rsidR="00721CAC">
        <w:t>on the</w:t>
      </w:r>
      <w:r w:rsidR="002312BD">
        <w:t>ir options and</w:t>
      </w:r>
      <w:r w:rsidR="00721CAC">
        <w:t xml:space="preserve"> costs </w:t>
      </w:r>
      <w:r w:rsidR="004A65CB">
        <w:t xml:space="preserve">once they are required by a </w:t>
      </w:r>
      <w:r w:rsidR="007F402B">
        <w:t xml:space="preserve">park operator to </w:t>
      </w:r>
      <w:r w:rsidR="00386568">
        <w:t>vacate</w:t>
      </w:r>
      <w:r w:rsidR="00E20419">
        <w:t xml:space="preserve">. </w:t>
      </w:r>
      <w:r w:rsidR="005039C6">
        <w:t xml:space="preserve">This could take the form of improved guidance material </w:t>
      </w:r>
      <w:r w:rsidR="00525F8B">
        <w:t>for the sector</w:t>
      </w:r>
      <w:r>
        <w:t>,</w:t>
      </w:r>
      <w:r w:rsidR="00525F8B">
        <w:t xml:space="preserve"> or </w:t>
      </w:r>
      <w:r>
        <w:t>amendments to provide more detail as to eligibility and how the amount of compensation is to be determined in the absence of agreement between the parties.</w:t>
      </w:r>
    </w:p>
    <w:tbl>
      <w:tblPr>
        <w:tblStyle w:val="TableGrid"/>
        <w:tblW w:w="0" w:type="auto"/>
        <w:tblLook w:val="04A0" w:firstRow="1" w:lastRow="0" w:firstColumn="1" w:lastColumn="0" w:noHBand="0" w:noVBand="1"/>
      </w:tblPr>
      <w:tblGrid>
        <w:gridCol w:w="9010"/>
      </w:tblGrid>
      <w:tr w:rsidR="00677663" w14:paraId="5100D2B9" w14:textId="77777777" w:rsidTr="00677663">
        <w:tc>
          <w:tcPr>
            <w:tcW w:w="9010" w:type="dxa"/>
          </w:tcPr>
          <w:p w14:paraId="5266D5F8" w14:textId="6A07E324" w:rsidR="00677663" w:rsidRPr="005B6C74" w:rsidRDefault="00677663" w:rsidP="0019309F">
            <w:pPr>
              <w:pStyle w:val="BodyText"/>
              <w:jc w:val="left"/>
              <w:rPr>
                <w:sz w:val="24"/>
              </w:rPr>
            </w:pPr>
            <w:r w:rsidRPr="00102521">
              <w:rPr>
                <w:b/>
                <w:bCs/>
                <w:sz w:val="24"/>
                <w:szCs w:val="28"/>
              </w:rPr>
              <w:t>Consultation question</w:t>
            </w:r>
            <w:r w:rsidR="00102521">
              <w:rPr>
                <w:b/>
                <w:bCs/>
                <w:sz w:val="24"/>
                <w:szCs w:val="28"/>
              </w:rPr>
              <w:t>s</w:t>
            </w:r>
          </w:p>
          <w:p w14:paraId="4282F47A" w14:textId="53A32B81" w:rsidR="00677663" w:rsidRPr="009C0A3C" w:rsidRDefault="00677663" w:rsidP="0019309F">
            <w:pPr>
              <w:pStyle w:val="ListParagraph"/>
              <w:jc w:val="left"/>
              <w:rPr>
                <w:sz w:val="24"/>
                <w:szCs w:val="32"/>
              </w:rPr>
            </w:pPr>
            <w:r w:rsidRPr="009C0A3C">
              <w:rPr>
                <w:sz w:val="24"/>
                <w:szCs w:val="32"/>
              </w:rPr>
              <w:t xml:space="preserve">Are the current grounds for compensation clear and sufficient? </w:t>
            </w:r>
            <w:r w:rsidR="00D03EA9" w:rsidRPr="009C0A3C">
              <w:rPr>
                <w:sz w:val="24"/>
                <w:szCs w:val="32"/>
              </w:rPr>
              <w:t>If no, what changes are required?</w:t>
            </w:r>
          </w:p>
          <w:p w14:paraId="3C7AE06F" w14:textId="19BFAECA" w:rsidR="00677663" w:rsidRPr="00D936A7" w:rsidRDefault="00677663" w:rsidP="0019309F">
            <w:pPr>
              <w:pStyle w:val="ListParagraph"/>
              <w:jc w:val="left"/>
            </w:pPr>
            <w:r w:rsidRPr="009C0A3C">
              <w:rPr>
                <w:sz w:val="24"/>
                <w:szCs w:val="32"/>
              </w:rPr>
              <w:t>Is the current manner that a compensation amount is to be determined appropriate</w:t>
            </w:r>
            <w:r w:rsidR="00B37BF1" w:rsidRPr="009C0A3C">
              <w:rPr>
                <w:sz w:val="24"/>
                <w:szCs w:val="32"/>
              </w:rPr>
              <w:t>?</w:t>
            </w:r>
            <w:r w:rsidR="00D03EA9" w:rsidRPr="009C0A3C">
              <w:rPr>
                <w:sz w:val="24"/>
                <w:szCs w:val="32"/>
              </w:rPr>
              <w:t xml:space="preserve"> If no, what changes are required</w:t>
            </w:r>
            <w:r w:rsidR="00102521" w:rsidRPr="009C0A3C">
              <w:rPr>
                <w:sz w:val="24"/>
                <w:szCs w:val="32"/>
              </w:rPr>
              <w:t>?</w:t>
            </w:r>
          </w:p>
        </w:tc>
      </w:tr>
    </w:tbl>
    <w:p w14:paraId="573458AF" w14:textId="7A02A449" w:rsidR="008812A7" w:rsidRDefault="008812A7" w:rsidP="0019309F">
      <w:pPr>
        <w:spacing w:after="0" w:line="240" w:lineRule="auto"/>
        <w:rPr>
          <w:rFonts w:cs="Arial"/>
          <w:b/>
          <w:bCs/>
          <w:color w:val="38115E"/>
          <w:sz w:val="42"/>
          <w:szCs w:val="32"/>
        </w:rPr>
      </w:pPr>
      <w:bookmarkStart w:id="283" w:name="_Toc215579742"/>
      <w:bookmarkEnd w:id="283"/>
    </w:p>
    <w:p w14:paraId="2A25F75F" w14:textId="77777777" w:rsidR="00D03EA9" w:rsidRDefault="00D03EA9" w:rsidP="0019309F">
      <w:pPr>
        <w:spacing w:after="0" w:line="240" w:lineRule="auto"/>
        <w:rPr>
          <w:rFonts w:cs="Arial"/>
          <w:b/>
          <w:bCs/>
          <w:color w:val="38115E"/>
          <w:sz w:val="42"/>
          <w:szCs w:val="32"/>
        </w:rPr>
      </w:pPr>
      <w:r>
        <w:br w:type="page"/>
      </w:r>
    </w:p>
    <w:p w14:paraId="16A5E8C1" w14:textId="5D878140" w:rsidR="00541BAB" w:rsidRDefault="00D03EA9" w:rsidP="0019309F">
      <w:pPr>
        <w:pStyle w:val="Heading1"/>
        <w:numPr>
          <w:ilvl w:val="0"/>
          <w:numId w:val="11"/>
        </w:numPr>
      </w:pPr>
      <w:bookmarkStart w:id="284" w:name="_Toc219884932"/>
      <w:r>
        <w:lastRenderedPageBreak/>
        <w:t>Other matters</w:t>
      </w:r>
      <w:bookmarkEnd w:id="284"/>
    </w:p>
    <w:p w14:paraId="58B83992" w14:textId="5C2AE2E5" w:rsidR="00B26BE5" w:rsidRDefault="00B26BE5" w:rsidP="0019309F">
      <w:pPr>
        <w:pStyle w:val="Heading2"/>
        <w:jc w:val="left"/>
      </w:pPr>
      <w:bookmarkStart w:id="285" w:name="_Toc219884933"/>
      <w:r>
        <w:t xml:space="preserve">Register of </w:t>
      </w:r>
      <w:r w:rsidR="00AF5D85">
        <w:t>r</w:t>
      </w:r>
      <w:r>
        <w:t xml:space="preserve">esidential </w:t>
      </w:r>
      <w:r w:rsidR="00AF5D85">
        <w:t>p</w:t>
      </w:r>
      <w:r>
        <w:t>arks</w:t>
      </w:r>
      <w:bookmarkEnd w:id="285"/>
    </w:p>
    <w:p w14:paraId="2E857FFD" w14:textId="77777777" w:rsidR="00B26BE5" w:rsidRDefault="00B26BE5" w:rsidP="0019309F">
      <w:pPr>
        <w:pStyle w:val="BodyText"/>
        <w:jc w:val="left"/>
      </w:pPr>
      <w:r>
        <w:t>A register is a list of residential parks and their key features.</w:t>
      </w:r>
    </w:p>
    <w:p w14:paraId="528BE09B" w14:textId="7DA6680B" w:rsidR="00B26BE5" w:rsidRDefault="00B26BE5" w:rsidP="0019309F">
      <w:pPr>
        <w:pStyle w:val="BodyText"/>
        <w:jc w:val="left"/>
      </w:pPr>
      <w:r>
        <w:t xml:space="preserve">There is currently no register of residential parks in WA, although a register is available for parks in </w:t>
      </w:r>
      <w:r w:rsidR="00C65BE7">
        <w:t>NSW</w:t>
      </w:r>
      <w:r>
        <w:rPr>
          <w:rStyle w:val="FootnoteReference"/>
        </w:rPr>
        <w:footnoteReference w:id="85"/>
      </w:r>
      <w:r>
        <w:t xml:space="preserve">, </w:t>
      </w:r>
      <w:r w:rsidR="00614E05">
        <w:t>SA</w:t>
      </w:r>
      <w:r>
        <w:rPr>
          <w:rStyle w:val="FootnoteReference"/>
        </w:rPr>
        <w:footnoteReference w:id="86"/>
      </w:r>
      <w:r>
        <w:t xml:space="preserve">,and </w:t>
      </w:r>
      <w:r w:rsidR="00C65BE7">
        <w:t>QLD</w:t>
      </w:r>
      <w:r>
        <w:rPr>
          <w:rStyle w:val="FootnoteReference"/>
        </w:rPr>
        <w:footnoteReference w:id="87"/>
      </w:r>
      <w:r>
        <w:t xml:space="preserve"> and </w:t>
      </w:r>
      <w:r w:rsidR="00DA597B">
        <w:t xml:space="preserve">introduction of </w:t>
      </w:r>
      <w:r w:rsidR="001726EE">
        <w:t>a register</w:t>
      </w:r>
      <w:r>
        <w:t xml:space="preserve"> has been recommended for Victoria</w:t>
      </w:r>
      <w:r w:rsidR="009F58CD">
        <w:t>.</w:t>
      </w:r>
      <w:r>
        <w:rPr>
          <w:rStyle w:val="FootnoteReference"/>
        </w:rPr>
        <w:footnoteReference w:id="88"/>
      </w:r>
      <w:r>
        <w:t xml:space="preserve"> </w:t>
      </w:r>
    </w:p>
    <w:p w14:paraId="5B347006" w14:textId="37ED3B84" w:rsidR="00B26BE5" w:rsidRDefault="00B26BE5" w:rsidP="0019309F">
      <w:pPr>
        <w:pStyle w:val="BodyText"/>
        <w:jc w:val="left"/>
      </w:pPr>
      <w:r>
        <w:t xml:space="preserve">A publicly accessible register of residential parks across WA could include information such as the licence details of the park, operator and owner details, the facilities in the park and the number of available long-stay sites. This information would allow prospective long-stay tenants to compare residential parks and choose one that suits their requirements. Further, </w:t>
      </w:r>
      <w:r w:rsidR="00C65BE7">
        <w:t xml:space="preserve">QLD </w:t>
      </w:r>
      <w:r>
        <w:t>requires a park owner of a residential park to publish on its website a comparison document to allow prospective long-stay tenants to compare parks on the basis of standard features including the frequency of rent increases, the basis for increasing rent and available communal facilities</w:t>
      </w:r>
      <w:r w:rsidR="009F58CD">
        <w:t>.</w:t>
      </w:r>
      <w:r>
        <w:rPr>
          <w:rStyle w:val="FootnoteReference"/>
        </w:rPr>
        <w:footnoteReference w:id="89"/>
      </w:r>
    </w:p>
    <w:p w14:paraId="05BA8E98" w14:textId="689DE685" w:rsidR="00B26BE5" w:rsidRDefault="00B26BE5" w:rsidP="0019309F">
      <w:pPr>
        <w:pStyle w:val="BodyText"/>
        <w:jc w:val="left"/>
      </w:pPr>
      <w:r>
        <w:t xml:space="preserve">Local </w:t>
      </w:r>
      <w:r w:rsidR="0037778B">
        <w:t>g</w:t>
      </w:r>
      <w:r>
        <w:t xml:space="preserve">overnments in WA licence caravan parks (including some residential parks) are responsible for administering the licensing scheme. Each </w:t>
      </w:r>
      <w:r w:rsidR="0037778B">
        <w:t>l</w:t>
      </w:r>
      <w:r>
        <w:t xml:space="preserve">ocal </w:t>
      </w:r>
      <w:r w:rsidR="0037778B">
        <w:t>g</w:t>
      </w:r>
      <w:r>
        <w:t>overnment maintains a register of licensed caravan parks and camping grounds</w:t>
      </w:r>
      <w:r w:rsidR="009F58CD">
        <w:t>.</w:t>
      </w:r>
      <w:r>
        <w:rPr>
          <w:rStyle w:val="FootnoteReference"/>
        </w:rPr>
        <w:footnoteReference w:id="90"/>
      </w:r>
      <w:r>
        <w:t xml:space="preserve"> This information is not centralised or accessible online across the State, making public accessibility and use limited. In addition, not all residential parks are licensed as caravan parks. </w:t>
      </w:r>
    </w:p>
    <w:p w14:paraId="60FD0CB9" w14:textId="77777777" w:rsidR="00B26BE5" w:rsidRDefault="00B26BE5" w:rsidP="0019309F">
      <w:pPr>
        <w:pStyle w:val="BodyText"/>
        <w:jc w:val="left"/>
      </w:pPr>
      <w:r>
        <w:t xml:space="preserve">An online register operated by LGIRS would assist with guiding oversight and policy design for LGIRS. </w:t>
      </w:r>
    </w:p>
    <w:p w14:paraId="66DDF530" w14:textId="572F21D4" w:rsidR="00B26BE5" w:rsidRDefault="00B26BE5" w:rsidP="0019309F">
      <w:pPr>
        <w:pStyle w:val="BodyText"/>
        <w:jc w:val="left"/>
      </w:pPr>
      <w:r>
        <w:t xml:space="preserve">The review will consider whether an online register could provide benefits to consumers, </w:t>
      </w:r>
      <w:r w:rsidR="0037778B">
        <w:t>l</w:t>
      </w:r>
      <w:r>
        <w:t xml:space="preserve">ocal </w:t>
      </w:r>
      <w:r w:rsidR="0037778B">
        <w:t>g</w:t>
      </w:r>
      <w:r>
        <w:t xml:space="preserve">overnments, LGIRS and other government agencies. A similar register </w:t>
      </w:r>
      <w:r w:rsidR="00DA597B">
        <w:t xml:space="preserve">is being </w:t>
      </w:r>
      <w:r>
        <w:t>developed for the WA retirement village sector</w:t>
      </w:r>
      <w:r>
        <w:rPr>
          <w:rStyle w:val="FootnoteReference"/>
        </w:rPr>
        <w:footnoteReference w:id="91"/>
      </w:r>
      <w:r>
        <w:t xml:space="preserve"> and a register is currently operational for the short-stay accommodation sector</w:t>
      </w:r>
      <w:r w:rsidR="009F58CD">
        <w:t>.</w:t>
      </w:r>
      <w:r>
        <w:rPr>
          <w:rStyle w:val="FootnoteReference"/>
        </w:rPr>
        <w:footnoteReference w:id="92"/>
      </w:r>
      <w:r>
        <w:t xml:space="preserve"> </w:t>
      </w:r>
    </w:p>
    <w:p w14:paraId="76B8C6C1" w14:textId="77777777" w:rsidR="000A07C9" w:rsidRDefault="000A07C9" w:rsidP="0019309F">
      <w:pPr>
        <w:pStyle w:val="BodyText"/>
        <w:jc w:val="left"/>
      </w:pPr>
    </w:p>
    <w:p w14:paraId="6DD0297E" w14:textId="77777777" w:rsidR="000A07C9" w:rsidRDefault="000A07C9" w:rsidP="0019309F">
      <w:pPr>
        <w:pStyle w:val="BodyText"/>
        <w:jc w:val="left"/>
      </w:pPr>
    </w:p>
    <w:tbl>
      <w:tblPr>
        <w:tblStyle w:val="TableGrid"/>
        <w:tblW w:w="0" w:type="auto"/>
        <w:tblLook w:val="04A0" w:firstRow="1" w:lastRow="0" w:firstColumn="1" w:lastColumn="0" w:noHBand="0" w:noVBand="1"/>
      </w:tblPr>
      <w:tblGrid>
        <w:gridCol w:w="9010"/>
      </w:tblGrid>
      <w:tr w:rsidR="00677663" w14:paraId="2FEACAB1" w14:textId="77777777" w:rsidTr="00677663">
        <w:tc>
          <w:tcPr>
            <w:tcW w:w="9010" w:type="dxa"/>
          </w:tcPr>
          <w:p w14:paraId="259C2D01" w14:textId="73676617" w:rsidR="00677663" w:rsidRPr="005B6C74" w:rsidRDefault="00677663" w:rsidP="0019309F">
            <w:pPr>
              <w:rPr>
                <w:b/>
                <w:bCs/>
                <w:sz w:val="24"/>
              </w:rPr>
            </w:pPr>
            <w:r w:rsidRPr="00102521">
              <w:rPr>
                <w:b/>
                <w:bCs/>
                <w:sz w:val="24"/>
                <w:szCs w:val="32"/>
              </w:rPr>
              <w:lastRenderedPageBreak/>
              <w:t>Consultation question</w:t>
            </w:r>
            <w:r w:rsidR="00102521">
              <w:rPr>
                <w:b/>
                <w:bCs/>
                <w:sz w:val="24"/>
                <w:szCs w:val="32"/>
              </w:rPr>
              <w:t>s</w:t>
            </w:r>
          </w:p>
          <w:p w14:paraId="431C9AEF" w14:textId="77777777" w:rsidR="00677663" w:rsidRPr="009C0A3C" w:rsidRDefault="00677663" w:rsidP="0019309F">
            <w:pPr>
              <w:pStyle w:val="ListParagraph"/>
              <w:jc w:val="left"/>
              <w:rPr>
                <w:sz w:val="24"/>
                <w:szCs w:val="32"/>
              </w:rPr>
            </w:pPr>
            <w:r w:rsidRPr="009C0A3C">
              <w:rPr>
                <w:sz w:val="24"/>
                <w:szCs w:val="32"/>
              </w:rPr>
              <w:t>Would operators, residents and prospective residents benefit from an online register of residential parks?</w:t>
            </w:r>
          </w:p>
          <w:p w14:paraId="0710F099" w14:textId="17D7F282" w:rsidR="00677663" w:rsidRPr="00D936A7" w:rsidRDefault="00677663" w:rsidP="0019309F">
            <w:pPr>
              <w:pStyle w:val="ListParagraph"/>
              <w:jc w:val="left"/>
            </w:pPr>
            <w:r w:rsidRPr="009C0A3C">
              <w:rPr>
                <w:sz w:val="24"/>
                <w:szCs w:val="32"/>
              </w:rPr>
              <w:t>If yes, what information do you believe should be included on the register and how should it be presented</w:t>
            </w:r>
            <w:r w:rsidR="00102521" w:rsidRPr="009C0A3C">
              <w:rPr>
                <w:sz w:val="24"/>
                <w:szCs w:val="32"/>
              </w:rPr>
              <w:t>?</w:t>
            </w:r>
          </w:p>
        </w:tc>
      </w:tr>
    </w:tbl>
    <w:p w14:paraId="46E6233D" w14:textId="3E283BAC" w:rsidR="00D03EA9" w:rsidRPr="00D03EA9" w:rsidRDefault="00D03EA9" w:rsidP="0019309F">
      <w:pPr>
        <w:pStyle w:val="Heading2"/>
        <w:jc w:val="left"/>
      </w:pPr>
      <w:bookmarkStart w:id="286" w:name="_Toc219884934"/>
      <w:r>
        <w:t>Changes to other WA tenancy laws</w:t>
      </w:r>
      <w:bookmarkEnd w:id="286"/>
    </w:p>
    <w:p w14:paraId="75F85C8D" w14:textId="70BF8383" w:rsidR="00323F74" w:rsidRDefault="00323F74" w:rsidP="0019309F">
      <w:pPr>
        <w:pStyle w:val="BodyText"/>
        <w:jc w:val="left"/>
      </w:pPr>
      <w:r>
        <w:t>The</w:t>
      </w:r>
      <w:r w:rsidR="00060676">
        <w:t xml:space="preserve"> Act </w:t>
      </w:r>
      <w:r w:rsidR="00487D5E">
        <w:t>originally evolved out of</w:t>
      </w:r>
      <w:r w:rsidR="00060676">
        <w:t xml:space="preserve"> the</w:t>
      </w:r>
      <w:r>
        <w:t xml:space="preserve"> </w:t>
      </w:r>
      <w:r w:rsidR="00060676">
        <w:t>RTA</w:t>
      </w:r>
      <w:r w:rsidR="00DA597B">
        <w:t>. The</w:t>
      </w:r>
      <w:r w:rsidR="00803C78">
        <w:t xml:space="preserve"> RTA and the Act </w:t>
      </w:r>
      <w:r w:rsidR="003518F1">
        <w:t xml:space="preserve">regulate </w:t>
      </w:r>
      <w:r w:rsidR="00590F18">
        <w:t xml:space="preserve">different </w:t>
      </w:r>
      <w:r w:rsidR="00803C78">
        <w:t xml:space="preserve">kinds </w:t>
      </w:r>
      <w:r w:rsidR="003518F1">
        <w:t>of tenancy agreements</w:t>
      </w:r>
      <w:r w:rsidR="00DA597B">
        <w:t xml:space="preserve"> that share some features</w:t>
      </w:r>
      <w:r w:rsidR="003518F1">
        <w:t xml:space="preserve">. </w:t>
      </w:r>
      <w:r w:rsidR="00803C78">
        <w:t>R</w:t>
      </w:r>
      <w:r w:rsidR="003518F1">
        <w:t xml:space="preserve">ecent amendments to the RTA </w:t>
      </w:r>
      <w:r w:rsidR="00803C78">
        <w:t>are</w:t>
      </w:r>
      <w:r w:rsidR="003518F1">
        <w:t xml:space="preserve"> </w:t>
      </w:r>
      <w:r w:rsidR="00803C78">
        <w:t xml:space="preserve">therefore </w:t>
      </w:r>
      <w:r w:rsidR="003518F1">
        <w:t>relevant to th</w:t>
      </w:r>
      <w:r w:rsidR="00803C78">
        <w:t xml:space="preserve">is statutory review. </w:t>
      </w:r>
    </w:p>
    <w:p w14:paraId="6BB07998" w14:textId="22FDEF94" w:rsidR="00060676" w:rsidRDefault="00060676" w:rsidP="0019309F">
      <w:pPr>
        <w:pStyle w:val="Heading3"/>
        <w:jc w:val="left"/>
      </w:pPr>
      <w:bookmarkStart w:id="287" w:name="_Toc219884935"/>
      <w:r>
        <w:t xml:space="preserve">Amendment to the </w:t>
      </w:r>
      <w:r w:rsidRPr="00B23C32">
        <w:rPr>
          <w:i/>
          <w:iCs/>
        </w:rPr>
        <w:t>Residential Tenancies Act 1987</w:t>
      </w:r>
      <w:bookmarkEnd w:id="287"/>
    </w:p>
    <w:p w14:paraId="7FB5343E" w14:textId="21E2269E" w:rsidR="00060676" w:rsidRDefault="00426EA6" w:rsidP="0019309F">
      <w:pPr>
        <w:pStyle w:val="BodyText"/>
        <w:jc w:val="left"/>
      </w:pPr>
      <w:r>
        <w:t xml:space="preserve">LGIRS </w:t>
      </w:r>
      <w:r w:rsidR="002F00CE">
        <w:t xml:space="preserve">has </w:t>
      </w:r>
      <w:r w:rsidR="00D03EA9">
        <w:t>developed recommendations for reform to</w:t>
      </w:r>
      <w:r w:rsidR="00CD3613">
        <w:t xml:space="preserve"> the </w:t>
      </w:r>
      <w:r w:rsidR="003518F1" w:rsidRPr="003518F1">
        <w:t>RTA</w:t>
      </w:r>
      <w:r w:rsidR="00CD3613" w:rsidRPr="003518F1">
        <w:t xml:space="preserve"> to</w:t>
      </w:r>
      <w:r w:rsidR="00CD3613">
        <w:t xml:space="preserve"> </w:t>
      </w:r>
      <w:r w:rsidR="00323F74">
        <w:t xml:space="preserve">reflect </w:t>
      </w:r>
      <w:r w:rsidR="004F73C0">
        <w:t>WA</w:t>
      </w:r>
      <w:r w:rsidR="00323F74">
        <w:t>’s changing tenancy market</w:t>
      </w:r>
      <w:r w:rsidR="004F09AF">
        <w:t xml:space="preserve"> following a comprehensive review of </w:t>
      </w:r>
      <w:r w:rsidR="00976D98">
        <w:t>the RTA</w:t>
      </w:r>
      <w:r w:rsidR="004F09AF">
        <w:t xml:space="preserve"> in 2019</w:t>
      </w:r>
      <w:r w:rsidR="00323F74">
        <w:t xml:space="preserve">. The first phase of reforms </w:t>
      </w:r>
      <w:r w:rsidR="00803C78">
        <w:t xml:space="preserve">arising from the review </w:t>
      </w:r>
      <w:r w:rsidR="00323F74">
        <w:t xml:space="preserve">were passed by Parliament </w:t>
      </w:r>
      <w:r w:rsidR="00D03EA9">
        <w:t xml:space="preserve">in 2024 </w:t>
      </w:r>
      <w:r w:rsidR="00803C78">
        <w:t xml:space="preserve">and </w:t>
      </w:r>
      <w:r w:rsidR="00C12173">
        <w:t xml:space="preserve">have largely been </w:t>
      </w:r>
      <w:r w:rsidR="00803C78">
        <w:t>implemented. These include reforms that</w:t>
      </w:r>
      <w:r w:rsidR="00060676">
        <w:t>:</w:t>
      </w:r>
    </w:p>
    <w:p w14:paraId="55D557C5" w14:textId="1505086A" w:rsidR="00E9511B" w:rsidRDefault="00E455C7" w:rsidP="0019309F">
      <w:pPr>
        <w:pStyle w:val="BodyText"/>
        <w:numPr>
          <w:ilvl w:val="0"/>
          <w:numId w:val="8"/>
        </w:numPr>
        <w:jc w:val="left"/>
      </w:pPr>
      <w:r>
        <w:t>enable</w:t>
      </w:r>
      <w:r w:rsidR="005D5E9F">
        <w:t xml:space="preserve"> </w:t>
      </w:r>
      <w:r w:rsidR="004F09AF">
        <w:t xml:space="preserve">tenants to make </w:t>
      </w:r>
      <w:r w:rsidR="00060676">
        <w:t>minor modifications</w:t>
      </w:r>
      <w:r w:rsidR="005D5E9F">
        <w:t xml:space="preserve"> to the </w:t>
      </w:r>
      <w:r w:rsidR="004F7464">
        <w:t xml:space="preserve">rental premises </w:t>
      </w:r>
      <w:r w:rsidR="004F09AF">
        <w:t>with the</w:t>
      </w:r>
      <w:r w:rsidR="005D5E9F">
        <w:t xml:space="preserve"> landlord</w:t>
      </w:r>
      <w:r w:rsidR="004F09AF">
        <w:t xml:space="preserve">’s consent </w:t>
      </w:r>
      <w:r w:rsidR="004F7464">
        <w:t>which can only be withheld in certain circumstances</w:t>
      </w:r>
      <w:r w:rsidR="00D03EA9">
        <w:t xml:space="preserve"> </w:t>
      </w:r>
      <w:r w:rsidR="005D5E9F">
        <w:t>(e.g. install picture hooks</w:t>
      </w:r>
      <w:r w:rsidR="00E9511B">
        <w:t>)</w:t>
      </w:r>
      <w:r w:rsidR="004F7464">
        <w:t>;</w:t>
      </w:r>
    </w:p>
    <w:p w14:paraId="7983A99C" w14:textId="394E6143" w:rsidR="00E9511B" w:rsidRDefault="00E455C7" w:rsidP="0019309F">
      <w:pPr>
        <w:pStyle w:val="BodyText"/>
        <w:numPr>
          <w:ilvl w:val="0"/>
          <w:numId w:val="8"/>
        </w:numPr>
        <w:jc w:val="left"/>
      </w:pPr>
      <w:r>
        <w:t>a</w:t>
      </w:r>
      <w:r w:rsidR="00E9511B">
        <w:t>llow tenants to keep a pet at the premises</w:t>
      </w:r>
      <w:r w:rsidR="004F09AF">
        <w:t xml:space="preserve"> with the landlord’s consent</w:t>
      </w:r>
      <w:r w:rsidR="00E9511B">
        <w:t xml:space="preserve">; </w:t>
      </w:r>
    </w:p>
    <w:p w14:paraId="2CA2C155" w14:textId="0EF6271A" w:rsidR="004F09AF" w:rsidRDefault="004F09AF" w:rsidP="0019309F">
      <w:pPr>
        <w:pStyle w:val="BodyText"/>
        <w:numPr>
          <w:ilvl w:val="0"/>
          <w:numId w:val="8"/>
        </w:numPr>
        <w:jc w:val="left"/>
      </w:pPr>
      <w:r>
        <w:t>limit rent increases to once every 12</w:t>
      </w:r>
      <w:r w:rsidR="00E96F41">
        <w:t xml:space="preserve"> </w:t>
      </w:r>
      <w:r>
        <w:t>months;</w:t>
      </w:r>
    </w:p>
    <w:p w14:paraId="4D99FA10" w14:textId="762D8683" w:rsidR="00112E91" w:rsidRDefault="004F09AF" w:rsidP="0019309F">
      <w:pPr>
        <w:pStyle w:val="BodyText"/>
        <w:numPr>
          <w:ilvl w:val="0"/>
          <w:numId w:val="8"/>
        </w:numPr>
        <w:jc w:val="left"/>
      </w:pPr>
      <w:r>
        <w:t>prohibit the solicitation of rent bidding</w:t>
      </w:r>
      <w:r w:rsidR="00803C78">
        <w:t>;</w:t>
      </w:r>
    </w:p>
    <w:p w14:paraId="7DC64949" w14:textId="2F1D5151" w:rsidR="004F09AF" w:rsidRDefault="00214254" w:rsidP="0019309F">
      <w:pPr>
        <w:pStyle w:val="BodyText"/>
        <w:numPr>
          <w:ilvl w:val="0"/>
          <w:numId w:val="8"/>
        </w:numPr>
        <w:jc w:val="left"/>
      </w:pPr>
      <w:r>
        <w:t>improve</w:t>
      </w:r>
      <w:r w:rsidR="00112E91">
        <w:t xml:space="preserve"> protections for tenants </w:t>
      </w:r>
      <w:r>
        <w:t>in relation to</w:t>
      </w:r>
      <w:r w:rsidR="00112E91">
        <w:t xml:space="preserve"> retaliatory action</w:t>
      </w:r>
      <w:r>
        <w:t xml:space="preserve"> by a landlord</w:t>
      </w:r>
      <w:r w:rsidR="004F09AF">
        <w:t>; and</w:t>
      </w:r>
    </w:p>
    <w:p w14:paraId="163A944C" w14:textId="4C620995" w:rsidR="005D5E9F" w:rsidRDefault="004F09AF" w:rsidP="0019309F">
      <w:pPr>
        <w:pStyle w:val="BodyText"/>
        <w:numPr>
          <w:ilvl w:val="0"/>
          <w:numId w:val="8"/>
        </w:numPr>
        <w:jc w:val="left"/>
      </w:pPr>
      <w:r>
        <w:t xml:space="preserve">give the </w:t>
      </w:r>
      <w:r w:rsidR="00060676">
        <w:t xml:space="preserve">Commissioner </w:t>
      </w:r>
      <w:r w:rsidR="00E455C7">
        <w:t>powers to</w:t>
      </w:r>
      <w:r w:rsidR="00060676">
        <w:t xml:space="preserve"> make a determination </w:t>
      </w:r>
      <w:r w:rsidR="005D5E9F">
        <w:t xml:space="preserve">(decision) </w:t>
      </w:r>
      <w:r w:rsidR="00C808B2">
        <w:t xml:space="preserve">in relation to </w:t>
      </w:r>
      <w:r w:rsidR="005D5E9F">
        <w:t>a tenant’s request for a minor modification or to have a pet and</w:t>
      </w:r>
      <w:r w:rsidR="009F58CD">
        <w:t xml:space="preserve"> – </w:t>
      </w:r>
      <w:r w:rsidR="005D5E9F">
        <w:t>in 2026</w:t>
      </w:r>
      <w:r w:rsidR="009F58CD">
        <w:t xml:space="preserve"> –</w:t>
      </w:r>
      <w:r w:rsidR="005D5E9F">
        <w:t xml:space="preserve"> to resolve a bond dispute.</w:t>
      </w:r>
      <w:r w:rsidR="00323F74">
        <w:t xml:space="preserve"> </w:t>
      </w:r>
    </w:p>
    <w:p w14:paraId="6D66846F" w14:textId="681688B2" w:rsidR="00F23D7C" w:rsidRDefault="00C12173" w:rsidP="0019309F">
      <w:pPr>
        <w:pStyle w:val="BodyText"/>
        <w:jc w:val="left"/>
      </w:pPr>
      <w:r>
        <w:t>F</w:t>
      </w:r>
      <w:r w:rsidR="007458FC">
        <w:t xml:space="preserve">urther </w:t>
      </w:r>
      <w:r w:rsidR="00D03EA9">
        <w:t xml:space="preserve">recommendation for </w:t>
      </w:r>
      <w:r w:rsidR="007458FC">
        <w:t>reforms to the RTA as part of the second phase of the review</w:t>
      </w:r>
      <w:r>
        <w:t xml:space="preserve"> </w:t>
      </w:r>
      <w:r w:rsidR="00D03EA9">
        <w:t xml:space="preserve">will soon be considered </w:t>
      </w:r>
      <w:r>
        <w:t xml:space="preserve">by </w:t>
      </w:r>
      <w:r w:rsidR="0037778B">
        <w:t>State G</w:t>
      </w:r>
      <w:r>
        <w:t>overnment</w:t>
      </w:r>
      <w:r w:rsidR="00F23D7C">
        <w:t xml:space="preserve">. </w:t>
      </w:r>
      <w:r w:rsidR="001726EE">
        <w:t xml:space="preserve">This </w:t>
      </w:r>
      <w:r w:rsidR="00F23D7C">
        <w:t>review will consider whether similar changes are also appropriate for the residential parks sector.</w:t>
      </w:r>
    </w:p>
    <w:p w14:paraId="1687BB1B" w14:textId="43870043" w:rsidR="00E50B67" w:rsidRDefault="00442A03" w:rsidP="0019309F">
      <w:pPr>
        <w:pStyle w:val="BodyText"/>
        <w:jc w:val="left"/>
      </w:pPr>
      <w:r>
        <w:t xml:space="preserve">Further information on phase one and two of the </w:t>
      </w:r>
      <w:r w:rsidR="0061583A">
        <w:t>RTA reforms can be found on the LGIRS website</w:t>
      </w:r>
      <w:r w:rsidR="00DA2766">
        <w:t>.</w:t>
      </w:r>
      <w:r w:rsidR="0061583A">
        <w:rPr>
          <w:rStyle w:val="FootnoteReference"/>
        </w:rPr>
        <w:footnoteReference w:id="93"/>
      </w:r>
    </w:p>
    <w:p w14:paraId="5C37B85F" w14:textId="77777777" w:rsidR="00677663" w:rsidRDefault="00677663" w:rsidP="0019309F">
      <w:pPr>
        <w:pStyle w:val="BodyText"/>
        <w:jc w:val="left"/>
      </w:pPr>
    </w:p>
    <w:p w14:paraId="4473885B" w14:textId="159D1350" w:rsidR="00E04595" w:rsidRPr="00E04595" w:rsidRDefault="00DD38C1" w:rsidP="0019309F">
      <w:pPr>
        <w:pStyle w:val="Heading1"/>
      </w:pPr>
      <w:bookmarkStart w:id="288" w:name="_Toc219884936"/>
      <w:r w:rsidRPr="00DD38C1">
        <w:lastRenderedPageBreak/>
        <w:t>Appendix A</w:t>
      </w:r>
      <w:bookmarkEnd w:id="288"/>
      <w:r w:rsidRPr="00DD38C1">
        <w:t xml:space="preserve"> </w:t>
      </w:r>
    </w:p>
    <w:p w14:paraId="3A2F66F0" w14:textId="36A919CD" w:rsidR="00DD38C1" w:rsidRDefault="00DD38C1" w:rsidP="0019309F">
      <w:pPr>
        <w:tabs>
          <w:tab w:val="left" w:pos="1684"/>
        </w:tabs>
      </w:pPr>
      <w:r w:rsidRPr="00DD38C1">
        <w:rPr>
          <w:b/>
          <w:bCs/>
        </w:rPr>
        <w:t>Fees for services or facilities that may be charged by a park operator under a long-stay agreement</w:t>
      </w:r>
      <w:r>
        <w:rPr>
          <w:b/>
          <w:bCs/>
        </w:rPr>
        <w:t xml:space="preserve"> under Regulation 8 of the Residential Parks (Long-stay Tenants) Regulations 2007</w:t>
      </w:r>
      <w:r w:rsidR="00BA0147">
        <w:rPr>
          <w:b/>
          <w:bCs/>
        </w:rPr>
        <w:t>:</w:t>
      </w:r>
    </w:p>
    <w:p w14:paraId="55A26D40" w14:textId="09BFE165" w:rsidR="00DD38C1" w:rsidRPr="00DD38C1" w:rsidRDefault="00DD38C1" w:rsidP="0019309F">
      <w:pPr>
        <w:ind w:left="851" w:hanging="851"/>
      </w:pPr>
      <w:r>
        <w:t>(a)</w:t>
      </w:r>
      <w:r>
        <w:tab/>
      </w:r>
      <w:r w:rsidRPr="00DD38C1">
        <w:t>fees for a person residing on a temporary basis on the agreed premises, other than a person who is a carer for a tenant on the premises, in the circumstances set out in subregulation (2);</w:t>
      </w:r>
    </w:p>
    <w:p w14:paraId="53460E96" w14:textId="2D21DDE3" w:rsidR="00DD38C1" w:rsidRPr="00DD38C1" w:rsidRDefault="00DD38C1" w:rsidP="0019309F">
      <w:pPr>
        <w:ind w:left="851" w:hanging="851"/>
      </w:pPr>
      <w:r w:rsidRPr="00DD38C1">
        <w:t>(b)</w:t>
      </w:r>
      <w:r w:rsidRPr="00DD38C1">
        <w:tab/>
        <w:t>if the tenant has a separate water meter </w:t>
      </w:r>
      <w:r w:rsidR="00BA0147">
        <w:t>–</w:t>
      </w:r>
      <w:r w:rsidRPr="00DD38C1">
        <w:t xml:space="preserve"> fees for water consumed by the tenant;</w:t>
      </w:r>
    </w:p>
    <w:p w14:paraId="41AA7545" w14:textId="074A1540" w:rsidR="00DD38C1" w:rsidRPr="00DD38C1" w:rsidRDefault="00DD38C1" w:rsidP="0019309F">
      <w:pPr>
        <w:ind w:left="851" w:hanging="851"/>
      </w:pPr>
      <w:r w:rsidRPr="00DD38C1">
        <w:t>(c)</w:t>
      </w:r>
      <w:r w:rsidRPr="00DD38C1">
        <w:tab/>
        <w:t>if the tenant has a separate electricity meter</w:t>
      </w:r>
      <w:r w:rsidR="00BA0147">
        <w:t>:</w:t>
      </w:r>
    </w:p>
    <w:p w14:paraId="4361BDAB" w14:textId="1439375C" w:rsidR="00DD38C1" w:rsidRPr="00DD38C1" w:rsidRDefault="00DD38C1" w:rsidP="0019309F">
      <w:pPr>
        <w:tabs>
          <w:tab w:val="left" w:pos="1684"/>
        </w:tabs>
        <w:ind w:left="851"/>
      </w:pPr>
      <w:r w:rsidRPr="00DD38C1">
        <w:t>(i)</w:t>
      </w:r>
      <w:r w:rsidRPr="00DD38C1">
        <w:tab/>
        <w:t>fees for electricity consumed by the tenant; and</w:t>
      </w:r>
    </w:p>
    <w:p w14:paraId="17B62EA7" w14:textId="26E11A5F" w:rsidR="00DD38C1" w:rsidRPr="00DD38C1" w:rsidRDefault="00DD38C1" w:rsidP="0019309F">
      <w:pPr>
        <w:tabs>
          <w:tab w:val="left" w:pos="1684"/>
        </w:tabs>
        <w:ind w:left="851"/>
      </w:pPr>
      <w:r w:rsidRPr="00DD38C1">
        <w:t>(ii)</w:t>
      </w:r>
      <w:r w:rsidRPr="00DD38C1">
        <w:tab/>
        <w:t xml:space="preserve">fees for the supply of the electricity </w:t>
      </w:r>
      <w:r w:rsidRPr="00BA0147">
        <w:t>(</w:t>
      </w:r>
      <w:r w:rsidRPr="00B23C32">
        <w:rPr>
          <w:b/>
        </w:rPr>
        <w:t>supply charges</w:t>
      </w:r>
      <w:r w:rsidRPr="00DD38C1">
        <w:t>);</w:t>
      </w:r>
    </w:p>
    <w:p w14:paraId="432874DD" w14:textId="401DEC2D" w:rsidR="00DD38C1" w:rsidRPr="00DD38C1" w:rsidRDefault="00DD38C1" w:rsidP="0019309F">
      <w:pPr>
        <w:ind w:left="851" w:hanging="851"/>
      </w:pPr>
      <w:r w:rsidRPr="00DD38C1">
        <w:t>(d)</w:t>
      </w:r>
      <w:r w:rsidRPr="00DD38C1">
        <w:tab/>
        <w:t>if the tenant has a separate gas meter </w:t>
      </w:r>
      <w:r w:rsidR="00BA0147">
        <w:t>–</w:t>
      </w:r>
      <w:r w:rsidRPr="00DD38C1">
        <w:t xml:space="preserve"> fees for gas consumed by the tenant;</w:t>
      </w:r>
    </w:p>
    <w:p w14:paraId="021824F8" w14:textId="56FA4F77" w:rsidR="00DD38C1" w:rsidRPr="00DD38C1" w:rsidRDefault="00DD38C1" w:rsidP="0019309F">
      <w:pPr>
        <w:ind w:left="851" w:hanging="851"/>
      </w:pPr>
      <w:r w:rsidRPr="00DD38C1">
        <w:t>(e)</w:t>
      </w:r>
      <w:r w:rsidRPr="00DD38C1">
        <w:tab/>
        <w:t>if the tenant has a separate phone line </w:t>
      </w:r>
      <w:r w:rsidR="00BA0147">
        <w:t>–</w:t>
      </w:r>
      <w:r w:rsidRPr="00DD38C1">
        <w:t xml:space="preserve"> fees for phone calls made by the tenant;</w:t>
      </w:r>
    </w:p>
    <w:p w14:paraId="734EFA09" w14:textId="7DCCDB11" w:rsidR="00DD38C1" w:rsidRPr="00DD38C1" w:rsidRDefault="00DD38C1" w:rsidP="0019309F">
      <w:pPr>
        <w:ind w:left="851" w:hanging="851"/>
      </w:pPr>
      <w:r w:rsidRPr="00DD38C1">
        <w:t>(f)</w:t>
      </w:r>
      <w:r w:rsidRPr="00DD38C1">
        <w:tab/>
        <w:t>fees for access by the tenant to an internet service provided to the tenant;</w:t>
      </w:r>
    </w:p>
    <w:p w14:paraId="37DB111A" w14:textId="7501DEFF" w:rsidR="00DD38C1" w:rsidRPr="00DD38C1" w:rsidRDefault="00DD38C1" w:rsidP="0019309F">
      <w:pPr>
        <w:ind w:left="851" w:hanging="851"/>
      </w:pPr>
      <w:r w:rsidRPr="00DD38C1">
        <w:t>(g)</w:t>
      </w:r>
      <w:r w:rsidRPr="00DD38C1">
        <w:tab/>
        <w:t>fees for gardening services provided to the tenant;</w:t>
      </w:r>
    </w:p>
    <w:p w14:paraId="6A2BD727" w14:textId="2EED5DFF" w:rsidR="00DD38C1" w:rsidRPr="00DD38C1" w:rsidRDefault="00DD38C1" w:rsidP="0019309F">
      <w:pPr>
        <w:ind w:left="851" w:hanging="851"/>
      </w:pPr>
      <w:r w:rsidRPr="00DD38C1">
        <w:t>(h)</w:t>
      </w:r>
      <w:r w:rsidRPr="00DD38C1">
        <w:tab/>
        <w:t xml:space="preserve">fees for storage services provided to the tenant; </w:t>
      </w:r>
    </w:p>
    <w:p w14:paraId="2EE9E2AA" w14:textId="27E1A596" w:rsidR="00DD38C1" w:rsidRPr="00DD38C1" w:rsidRDefault="00DD38C1" w:rsidP="0019309F">
      <w:pPr>
        <w:ind w:left="851" w:hanging="851"/>
      </w:pPr>
      <w:r w:rsidRPr="00DD38C1">
        <w:t>(i)</w:t>
      </w:r>
      <w:r w:rsidRPr="00DD38C1">
        <w:tab/>
        <w:t xml:space="preserve">fees for additional parking spaces provided to the tenant; </w:t>
      </w:r>
    </w:p>
    <w:p w14:paraId="5DA95206" w14:textId="32A01E3F" w:rsidR="00DD38C1" w:rsidRPr="00DD38C1" w:rsidRDefault="00DD38C1" w:rsidP="0019309F">
      <w:pPr>
        <w:ind w:left="851" w:hanging="851"/>
      </w:pPr>
      <w:r w:rsidRPr="00DD38C1">
        <w:t>(j)</w:t>
      </w:r>
      <w:r w:rsidRPr="00DD38C1">
        <w:tab/>
        <w:t>fees for the servicing of an air</w:t>
      </w:r>
      <w:r w:rsidRPr="00DD38C1">
        <w:noBreakHyphen/>
        <w:t>conditioning unit used by the tenant;</w:t>
      </w:r>
    </w:p>
    <w:p w14:paraId="43BC87D9" w14:textId="2D103ADA" w:rsidR="00DD38C1" w:rsidRPr="00DD38C1" w:rsidRDefault="00DD38C1" w:rsidP="0019309F">
      <w:pPr>
        <w:ind w:left="851" w:hanging="851"/>
      </w:pPr>
      <w:r w:rsidRPr="00DD38C1">
        <w:t>(k)</w:t>
      </w:r>
      <w:r w:rsidRPr="00DD38C1">
        <w:tab/>
        <w:t>fees for the cleaning of the gutters on the relocatable home in which the tenant resides;</w:t>
      </w:r>
      <w:r w:rsidR="00BA0147">
        <w:t xml:space="preserve"> and</w:t>
      </w:r>
    </w:p>
    <w:p w14:paraId="32B4573D" w14:textId="01FF46CF" w:rsidR="00DD38C1" w:rsidRPr="00DD38C1" w:rsidRDefault="00DD38C1" w:rsidP="0019309F">
      <w:pPr>
        <w:ind w:left="851" w:hanging="851"/>
      </w:pPr>
      <w:r w:rsidRPr="00DD38C1">
        <w:t>(l)</w:t>
      </w:r>
      <w:r w:rsidRPr="00DD38C1">
        <w:tab/>
        <w:t>fees to cover the cost of a replacement key, remote control entry device or other security device.</w:t>
      </w:r>
    </w:p>
    <w:p w14:paraId="7DD067A1" w14:textId="77777777" w:rsidR="00DD38C1" w:rsidRDefault="00DD38C1" w:rsidP="0019309F">
      <w:pPr>
        <w:tabs>
          <w:tab w:val="left" w:pos="1684"/>
        </w:tabs>
      </w:pPr>
    </w:p>
    <w:p w14:paraId="57973A2C" w14:textId="77777777" w:rsidR="00D4273A" w:rsidRDefault="00D4273A" w:rsidP="0019309F">
      <w:pPr>
        <w:tabs>
          <w:tab w:val="left" w:pos="1684"/>
        </w:tabs>
      </w:pPr>
    </w:p>
    <w:p w14:paraId="05E183B5" w14:textId="77777777" w:rsidR="00D4273A" w:rsidRDefault="00D4273A" w:rsidP="0019309F">
      <w:pPr>
        <w:tabs>
          <w:tab w:val="left" w:pos="1684"/>
        </w:tabs>
      </w:pPr>
    </w:p>
    <w:p w14:paraId="3A896C66" w14:textId="77777777" w:rsidR="00D4273A" w:rsidRDefault="00D4273A" w:rsidP="0019309F">
      <w:pPr>
        <w:tabs>
          <w:tab w:val="left" w:pos="1684"/>
        </w:tabs>
      </w:pPr>
    </w:p>
    <w:p w14:paraId="207144BA" w14:textId="77777777" w:rsidR="00D4273A" w:rsidRDefault="00D4273A" w:rsidP="0019309F">
      <w:pPr>
        <w:tabs>
          <w:tab w:val="left" w:pos="1684"/>
        </w:tabs>
      </w:pPr>
    </w:p>
    <w:p w14:paraId="55EB048F" w14:textId="77777777" w:rsidR="00D4273A" w:rsidRDefault="00D4273A" w:rsidP="0019309F">
      <w:pPr>
        <w:tabs>
          <w:tab w:val="left" w:pos="1684"/>
        </w:tabs>
      </w:pPr>
    </w:p>
    <w:p w14:paraId="04A25805" w14:textId="77777777" w:rsidR="00D4273A" w:rsidRDefault="00D4273A" w:rsidP="0019309F">
      <w:pPr>
        <w:tabs>
          <w:tab w:val="left" w:pos="1684"/>
        </w:tabs>
      </w:pPr>
    </w:p>
    <w:p w14:paraId="13063EBC" w14:textId="77777777" w:rsidR="00D4273A" w:rsidRDefault="00D4273A" w:rsidP="0019309F">
      <w:pPr>
        <w:tabs>
          <w:tab w:val="left" w:pos="1684"/>
        </w:tabs>
      </w:pPr>
    </w:p>
    <w:p w14:paraId="5D917C02" w14:textId="77777777" w:rsidR="00D4273A" w:rsidRDefault="00D4273A" w:rsidP="00D4273A">
      <w:pPr>
        <w:spacing w:after="0" w:line="240" w:lineRule="auto"/>
      </w:pPr>
    </w:p>
    <w:p w14:paraId="2AFF7F82" w14:textId="77777777" w:rsidR="00A00D05" w:rsidRDefault="00A00D05" w:rsidP="00D4273A">
      <w:pPr>
        <w:spacing w:after="0" w:line="240" w:lineRule="auto"/>
        <w:sectPr w:rsidR="00A00D05" w:rsidSect="00526A3E">
          <w:headerReference w:type="default" r:id="rId22"/>
          <w:footerReference w:type="default" r:id="rId23"/>
          <w:pgSz w:w="11900" w:h="16840" w:code="9"/>
          <w:pgMar w:top="1985" w:right="1134" w:bottom="1134" w:left="1134" w:header="567" w:footer="147" w:gutter="0"/>
          <w:cols w:space="567"/>
          <w:docGrid w:linePitch="326"/>
        </w:sectPr>
      </w:pPr>
    </w:p>
    <w:p w14:paraId="6593A494" w14:textId="77777777" w:rsidR="00A00D05" w:rsidRDefault="00A00D05" w:rsidP="00D4273A">
      <w:pPr>
        <w:spacing w:after="0" w:line="240" w:lineRule="auto"/>
      </w:pPr>
    </w:p>
    <w:p w14:paraId="4183BF5A" w14:textId="77777777" w:rsidR="00A00D05" w:rsidRDefault="00A00D05" w:rsidP="00D4273A">
      <w:pPr>
        <w:spacing w:after="0" w:line="240" w:lineRule="auto"/>
      </w:pPr>
    </w:p>
    <w:p w14:paraId="0F808A40" w14:textId="77777777" w:rsidR="00A00D05" w:rsidRDefault="00A00D05" w:rsidP="00D4273A">
      <w:pPr>
        <w:spacing w:after="0" w:line="240" w:lineRule="auto"/>
      </w:pPr>
    </w:p>
    <w:p w14:paraId="498A678D" w14:textId="77777777" w:rsidR="00A00D05" w:rsidRDefault="00A00D05" w:rsidP="00D4273A">
      <w:pPr>
        <w:spacing w:after="0" w:line="240" w:lineRule="auto"/>
      </w:pPr>
    </w:p>
    <w:p w14:paraId="47E07428" w14:textId="77777777" w:rsidR="00A00D05" w:rsidRDefault="00A00D05" w:rsidP="00D4273A">
      <w:pPr>
        <w:spacing w:after="0" w:line="240" w:lineRule="auto"/>
      </w:pPr>
    </w:p>
    <w:p w14:paraId="6B8CB515" w14:textId="77777777" w:rsidR="00A00D05" w:rsidRDefault="00A00D05" w:rsidP="00D4273A">
      <w:pPr>
        <w:spacing w:after="0" w:line="240" w:lineRule="auto"/>
      </w:pPr>
    </w:p>
    <w:p w14:paraId="2FCC375B" w14:textId="77777777" w:rsidR="00A00D05" w:rsidRDefault="00A00D05" w:rsidP="00D4273A">
      <w:pPr>
        <w:spacing w:after="0" w:line="240" w:lineRule="auto"/>
      </w:pPr>
    </w:p>
    <w:p w14:paraId="36A16A4E" w14:textId="77777777" w:rsidR="00A00D05" w:rsidRDefault="00A00D05" w:rsidP="00D4273A">
      <w:pPr>
        <w:spacing w:after="0" w:line="240" w:lineRule="auto"/>
      </w:pPr>
    </w:p>
    <w:p w14:paraId="3DAE8990" w14:textId="77777777" w:rsidR="00A00D05" w:rsidRDefault="00A00D05" w:rsidP="00D4273A">
      <w:pPr>
        <w:spacing w:after="0" w:line="240" w:lineRule="auto"/>
      </w:pPr>
    </w:p>
    <w:p w14:paraId="12C99456" w14:textId="77777777" w:rsidR="00A00D05" w:rsidRDefault="00A00D05" w:rsidP="00D4273A">
      <w:pPr>
        <w:spacing w:after="0" w:line="240" w:lineRule="auto"/>
      </w:pPr>
    </w:p>
    <w:p w14:paraId="3DA01DC2" w14:textId="77777777" w:rsidR="00A00D05" w:rsidRDefault="00A00D05" w:rsidP="00D4273A">
      <w:pPr>
        <w:spacing w:after="0" w:line="240" w:lineRule="auto"/>
      </w:pPr>
    </w:p>
    <w:p w14:paraId="6D8135D6" w14:textId="77777777" w:rsidR="00A00D05" w:rsidRDefault="00A00D05" w:rsidP="00D4273A">
      <w:pPr>
        <w:spacing w:after="0" w:line="240" w:lineRule="auto"/>
      </w:pPr>
    </w:p>
    <w:p w14:paraId="135C6EAA" w14:textId="77777777" w:rsidR="00A00D05" w:rsidRDefault="00A00D05" w:rsidP="00D4273A">
      <w:pPr>
        <w:spacing w:after="0" w:line="240" w:lineRule="auto"/>
      </w:pPr>
    </w:p>
    <w:p w14:paraId="290AFCB3" w14:textId="77777777" w:rsidR="00A00D05" w:rsidRDefault="00A00D05" w:rsidP="00D4273A">
      <w:pPr>
        <w:spacing w:after="0" w:line="240" w:lineRule="auto"/>
      </w:pPr>
    </w:p>
    <w:p w14:paraId="31B7FD44" w14:textId="77777777" w:rsidR="00A00D05" w:rsidRDefault="00A00D05" w:rsidP="00D4273A">
      <w:pPr>
        <w:spacing w:after="0" w:line="240" w:lineRule="auto"/>
      </w:pPr>
    </w:p>
    <w:p w14:paraId="00210E56" w14:textId="77777777" w:rsidR="00A00D05" w:rsidRDefault="00A00D05" w:rsidP="00D4273A">
      <w:pPr>
        <w:spacing w:after="0" w:line="240" w:lineRule="auto"/>
      </w:pPr>
    </w:p>
    <w:p w14:paraId="32C2A35D" w14:textId="77777777" w:rsidR="00A00D05" w:rsidRDefault="00A00D05" w:rsidP="00D4273A">
      <w:pPr>
        <w:spacing w:after="0" w:line="240" w:lineRule="auto"/>
      </w:pPr>
    </w:p>
    <w:p w14:paraId="164BA5F5" w14:textId="77777777" w:rsidR="00A00D05" w:rsidRDefault="00A00D05" w:rsidP="00D4273A">
      <w:pPr>
        <w:spacing w:after="0" w:line="240" w:lineRule="auto"/>
      </w:pPr>
    </w:p>
    <w:p w14:paraId="4799C8A1" w14:textId="77777777" w:rsidR="00A00D05" w:rsidRDefault="00A00D05" w:rsidP="00D4273A">
      <w:pPr>
        <w:spacing w:after="0" w:line="240" w:lineRule="auto"/>
      </w:pPr>
    </w:p>
    <w:p w14:paraId="6F602749" w14:textId="77777777" w:rsidR="00A00D05" w:rsidRDefault="00A00D05" w:rsidP="00D4273A">
      <w:pPr>
        <w:spacing w:after="0" w:line="240" w:lineRule="auto"/>
      </w:pPr>
    </w:p>
    <w:p w14:paraId="7C983260" w14:textId="77777777" w:rsidR="00A00D05" w:rsidRDefault="00A00D05" w:rsidP="00D4273A">
      <w:pPr>
        <w:spacing w:after="0" w:line="240" w:lineRule="auto"/>
      </w:pPr>
    </w:p>
    <w:tbl>
      <w:tblPr>
        <w:tblStyle w:val="TableGrid"/>
        <w:tblW w:w="9634" w:type="dxa"/>
        <w:tblBorders>
          <w:top w:val="none" w:sz="0" w:space="0" w:color="auto"/>
          <w:bottom w:val="none" w:sz="0" w:space="0" w:color="auto"/>
          <w:right w:val="none" w:sz="0" w:space="0" w:color="auto"/>
          <w:insideV w:val="none" w:sz="0" w:space="0" w:color="auto"/>
        </w:tblBorders>
        <w:tblCellMar>
          <w:top w:w="113" w:type="dxa"/>
          <w:left w:w="113" w:type="dxa"/>
        </w:tblCellMar>
        <w:tblLook w:val="04A0" w:firstRow="1" w:lastRow="0" w:firstColumn="1" w:lastColumn="0" w:noHBand="0" w:noVBand="1"/>
      </w:tblPr>
      <w:tblGrid>
        <w:gridCol w:w="4815"/>
        <w:gridCol w:w="4819"/>
      </w:tblGrid>
      <w:tr w:rsidR="00A00D05" w14:paraId="58FF70A6" w14:textId="77777777" w:rsidTr="00D72C3C">
        <w:tc>
          <w:tcPr>
            <w:tcW w:w="4815" w:type="dxa"/>
          </w:tcPr>
          <w:p w14:paraId="752B563A" w14:textId="77777777" w:rsidR="00A00D05" w:rsidRPr="00684400" w:rsidRDefault="00A00D05" w:rsidP="00D72C3C">
            <w:pPr>
              <w:tabs>
                <w:tab w:val="left" w:pos="1684"/>
              </w:tabs>
              <w:rPr>
                <w:b/>
                <w:bCs/>
              </w:rPr>
            </w:pPr>
            <w:r w:rsidRPr="00684400">
              <w:rPr>
                <w:b/>
                <w:bCs/>
              </w:rPr>
              <w:t>Department of Local Government, Industry Regulation and Safety</w:t>
            </w:r>
          </w:p>
          <w:p w14:paraId="1A97DA72" w14:textId="77777777" w:rsidR="00A00D05" w:rsidRDefault="00A00D05" w:rsidP="00D72C3C">
            <w:pPr>
              <w:tabs>
                <w:tab w:val="left" w:pos="1684"/>
              </w:tabs>
            </w:pPr>
            <w:hyperlink r:id="rId24" w:history="1">
              <w:r w:rsidRPr="00684400">
                <w:rPr>
                  <w:rStyle w:val="Hyperlink"/>
                  <w:sz w:val="20"/>
                </w:rPr>
                <w:t>www.lgirs.wa.gov.au</w:t>
              </w:r>
            </w:hyperlink>
          </w:p>
          <w:p w14:paraId="4EA40621" w14:textId="77777777" w:rsidR="00A00D05" w:rsidRDefault="00A00D05" w:rsidP="00D72C3C">
            <w:pPr>
              <w:tabs>
                <w:tab w:val="left" w:pos="1684"/>
              </w:tabs>
            </w:pPr>
            <w:r w:rsidRPr="00684400">
              <w:rPr>
                <w:b/>
                <w:bCs/>
              </w:rPr>
              <w:t>Regional Offices:</w:t>
            </w:r>
            <w:r>
              <w:br/>
            </w:r>
            <w:r w:rsidRPr="00684400">
              <w:t>Goldfields/Esperance (08) 9021 9494</w:t>
            </w:r>
            <w:r>
              <w:br/>
            </w:r>
            <w:r w:rsidRPr="00684400">
              <w:t>Great Southern (08) 9842 8366</w:t>
            </w:r>
            <w:r>
              <w:br/>
            </w:r>
            <w:r w:rsidRPr="00684400">
              <w:t>Kimberley</w:t>
            </w:r>
            <w:r>
              <w:t xml:space="preserve"> </w:t>
            </w:r>
            <w:r w:rsidRPr="00684400">
              <w:t>(08) 9191 8400</w:t>
            </w:r>
            <w:r>
              <w:br/>
            </w:r>
            <w:r w:rsidRPr="00684400">
              <w:t>Mid West</w:t>
            </w:r>
            <w:r>
              <w:t xml:space="preserve"> </w:t>
            </w:r>
            <w:r w:rsidRPr="00684400">
              <w:t>(08) 9920 9800</w:t>
            </w:r>
            <w:r>
              <w:br/>
            </w:r>
            <w:r w:rsidRPr="00684400">
              <w:t>North West</w:t>
            </w:r>
            <w:r>
              <w:t xml:space="preserve"> </w:t>
            </w:r>
            <w:r w:rsidRPr="00684400">
              <w:t>(08) 9185 0900</w:t>
            </w:r>
            <w:r>
              <w:br/>
            </w:r>
            <w:r w:rsidRPr="00684400">
              <w:t>South West (08) 9722 2888</w:t>
            </w:r>
          </w:p>
        </w:tc>
        <w:tc>
          <w:tcPr>
            <w:tcW w:w="4819" w:type="dxa"/>
          </w:tcPr>
          <w:p w14:paraId="058BFB1B" w14:textId="77777777" w:rsidR="00A00D05" w:rsidRPr="00684400" w:rsidRDefault="00A00D05" w:rsidP="00D72C3C">
            <w:pPr>
              <w:tabs>
                <w:tab w:val="left" w:pos="1684"/>
              </w:tabs>
              <w:rPr>
                <w:b/>
                <w:bCs/>
              </w:rPr>
            </w:pPr>
            <w:r w:rsidRPr="00684400">
              <w:rPr>
                <w:b/>
                <w:bCs/>
              </w:rPr>
              <w:t>Consumer Protection Division</w:t>
            </w:r>
          </w:p>
          <w:p w14:paraId="662CE97D" w14:textId="77777777" w:rsidR="00A00D05" w:rsidRDefault="00A00D05" w:rsidP="00D72C3C">
            <w:pPr>
              <w:tabs>
                <w:tab w:val="left" w:pos="1684"/>
              </w:tabs>
            </w:pPr>
            <w:r w:rsidRPr="00684400">
              <w:t>Gordon Stephenson House</w:t>
            </w:r>
            <w:r>
              <w:br/>
            </w:r>
            <w:r w:rsidRPr="00684400">
              <w:t>Level 2/140 William Street</w:t>
            </w:r>
            <w:r>
              <w:br/>
            </w:r>
            <w:r w:rsidRPr="00684400">
              <w:t>Perth Western Australia 6000</w:t>
            </w:r>
          </w:p>
          <w:p w14:paraId="64064077" w14:textId="77777777" w:rsidR="00A00D05" w:rsidRDefault="00A00D05" w:rsidP="00D72C3C">
            <w:pPr>
              <w:tabs>
                <w:tab w:val="left" w:pos="1684"/>
              </w:tabs>
            </w:pPr>
            <w:r w:rsidRPr="00684400">
              <w:t>Locked Bag 14. Cloisters Square</w:t>
            </w:r>
            <w:r>
              <w:br/>
            </w:r>
            <w:r w:rsidRPr="00684400">
              <w:t>Perth WA 6850</w:t>
            </w:r>
          </w:p>
          <w:p w14:paraId="5EE41030" w14:textId="77777777" w:rsidR="00A00D05" w:rsidRDefault="00A00D05" w:rsidP="00D72C3C">
            <w:pPr>
              <w:tabs>
                <w:tab w:val="left" w:pos="1684"/>
              </w:tabs>
            </w:pPr>
            <w:r w:rsidRPr="00684400">
              <w:rPr>
                <w:b/>
                <w:bCs/>
              </w:rPr>
              <w:t>Call:</w:t>
            </w:r>
            <w:r w:rsidRPr="00684400">
              <w:t xml:space="preserve"> 1300 30 40 5</w:t>
            </w:r>
            <w:r>
              <w:t>4</w:t>
            </w:r>
          </w:p>
          <w:p w14:paraId="6E4DDE0C" w14:textId="77777777" w:rsidR="00A00D05" w:rsidRDefault="00A00D05" w:rsidP="00D72C3C">
            <w:pPr>
              <w:tabs>
                <w:tab w:val="left" w:pos="1684"/>
              </w:tabs>
            </w:pPr>
            <w:r w:rsidRPr="00684400">
              <w:rPr>
                <w:b/>
                <w:bCs/>
              </w:rPr>
              <w:t>Email:</w:t>
            </w:r>
            <w:r w:rsidRPr="00684400">
              <w:t xml:space="preserve"> </w:t>
            </w:r>
            <w:hyperlink r:id="rId25" w:history="1">
              <w:r w:rsidRPr="00684400">
                <w:rPr>
                  <w:rStyle w:val="Hyperlink"/>
                  <w:sz w:val="20"/>
                </w:rPr>
                <w:t>consumer@lgirs.wa.gov.au</w:t>
              </w:r>
            </w:hyperlink>
          </w:p>
          <w:p w14:paraId="3C4C5FAE" w14:textId="77777777" w:rsidR="00A00D05" w:rsidRDefault="00A00D05" w:rsidP="00D72C3C">
            <w:pPr>
              <w:tabs>
                <w:tab w:val="left" w:pos="1684"/>
              </w:tabs>
            </w:pPr>
            <w:hyperlink r:id="rId26" w:history="1">
              <w:r w:rsidRPr="00684400">
                <w:rPr>
                  <w:rStyle w:val="Hyperlink"/>
                  <w:sz w:val="20"/>
                </w:rPr>
                <w:t>www.consumerprotection.wa.gov.au</w:t>
              </w:r>
            </w:hyperlink>
            <w:r>
              <w:t xml:space="preserve"> </w:t>
            </w:r>
          </w:p>
        </w:tc>
      </w:tr>
    </w:tbl>
    <w:p w14:paraId="5A91735C" w14:textId="77777777" w:rsidR="00A00D05" w:rsidRDefault="00A00D05" w:rsidP="00A00D05">
      <w:pPr>
        <w:tabs>
          <w:tab w:val="left" w:pos="1684"/>
        </w:tabs>
        <w:rPr>
          <w:b/>
          <w:bCs/>
          <w:sz w:val="20"/>
          <w:szCs w:val="20"/>
        </w:rPr>
      </w:pPr>
    </w:p>
    <w:p w14:paraId="19036F35" w14:textId="4D6661BB" w:rsidR="00A00D05" w:rsidRDefault="00A00D05" w:rsidP="00A00D05">
      <w:pPr>
        <w:tabs>
          <w:tab w:val="left" w:pos="1684"/>
        </w:tabs>
        <w:rPr>
          <w:sz w:val="20"/>
          <w:szCs w:val="20"/>
        </w:rPr>
      </w:pPr>
      <w:r w:rsidRPr="00684400">
        <w:rPr>
          <w:b/>
          <w:bCs/>
          <w:sz w:val="20"/>
          <w:szCs w:val="20"/>
        </w:rPr>
        <w:t>Disclaimer:</w:t>
      </w:r>
      <w:r w:rsidRPr="00684400">
        <w:rPr>
          <w:sz w:val="20"/>
          <w:szCs w:val="20"/>
        </w:rPr>
        <w:t xml:space="preserve"> The information contained in this </w:t>
      </w:r>
      <w:r w:rsidR="002350B4">
        <w:rPr>
          <w:sz w:val="20"/>
          <w:szCs w:val="20"/>
        </w:rPr>
        <w:t>document</w:t>
      </w:r>
      <w:r w:rsidRPr="00684400">
        <w:rPr>
          <w:sz w:val="20"/>
          <w:szCs w:val="20"/>
        </w:rPr>
        <w:t xml:space="preserve"> is provided as general information and a guide only. It should not be relied upon as legal advice or as an accurate statement of the relevant legislation provisions. If you are uncertain as to your legal obligations, you should obtain independent legal advice. </w:t>
      </w:r>
    </w:p>
    <w:p w14:paraId="33CE157A" w14:textId="77777777" w:rsidR="00A00D05" w:rsidRPr="00684400" w:rsidRDefault="00A00D05" w:rsidP="00A00D05">
      <w:pPr>
        <w:tabs>
          <w:tab w:val="left" w:pos="1684"/>
        </w:tabs>
        <w:rPr>
          <w:b/>
          <w:bCs/>
          <w:sz w:val="20"/>
          <w:szCs w:val="20"/>
        </w:rPr>
      </w:pPr>
      <w:r w:rsidRPr="00684400">
        <w:rPr>
          <w:b/>
          <w:bCs/>
          <w:sz w:val="20"/>
          <w:szCs w:val="20"/>
        </w:rPr>
        <w:t xml:space="preserve">This publication is available in other formats on request. </w:t>
      </w:r>
    </w:p>
    <w:p w14:paraId="041ABF44" w14:textId="77777777" w:rsidR="00A00D05" w:rsidRDefault="00A00D05" w:rsidP="00A00D05">
      <w:pPr>
        <w:tabs>
          <w:tab w:val="left" w:pos="1684"/>
        </w:tabs>
        <w:rPr>
          <w:sz w:val="20"/>
          <w:szCs w:val="20"/>
        </w:rPr>
      </w:pPr>
      <w:r w:rsidRPr="00684400">
        <w:rPr>
          <w:sz w:val="20"/>
          <w:szCs w:val="20"/>
        </w:rPr>
        <w:t>National Relay Service: 13 36 77</w:t>
      </w:r>
    </w:p>
    <w:p w14:paraId="76996101" w14:textId="6CE0B984" w:rsidR="00A00D05" w:rsidRPr="00A00D05" w:rsidRDefault="00A00D05" w:rsidP="00A00D05">
      <w:pPr>
        <w:tabs>
          <w:tab w:val="left" w:pos="1684"/>
        </w:tabs>
        <w:rPr>
          <w:sz w:val="20"/>
          <w:szCs w:val="20"/>
        </w:rPr>
      </w:pPr>
      <w:r w:rsidRPr="00684400">
        <w:rPr>
          <w:sz w:val="20"/>
          <w:szCs w:val="20"/>
        </w:rPr>
        <w:t>Translating and Interpreting Service (TIS): 13 14 50</w:t>
      </w:r>
    </w:p>
    <w:sectPr w:rsidR="00A00D05" w:rsidRPr="00A00D05" w:rsidSect="00526A3E">
      <w:headerReference w:type="default" r:id="rId27"/>
      <w:footerReference w:type="default" r:id="rId28"/>
      <w:pgSz w:w="11900" w:h="16840" w:code="9"/>
      <w:pgMar w:top="1985" w:right="1134" w:bottom="1134" w:left="1134" w:header="567" w:footer="147" w:gutter="0"/>
      <w:cols w:space="567"/>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E5491A" w14:textId="77777777" w:rsidR="00CA3F8A" w:rsidRDefault="00CA3F8A" w:rsidP="00D41211">
      <w:r>
        <w:separator/>
      </w:r>
    </w:p>
  </w:endnote>
  <w:endnote w:type="continuationSeparator" w:id="0">
    <w:p w14:paraId="098437F3" w14:textId="77777777" w:rsidR="00CA3F8A" w:rsidRDefault="00CA3F8A" w:rsidP="00D41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ibson">
    <w:altName w:val="Arial"/>
    <w:panose1 w:val="00000000000000000000"/>
    <w:charset w:val="00"/>
    <w:family w:val="modern"/>
    <w:notTrueType/>
    <w:pitch w:val="variable"/>
    <w:sig w:usb0="A000002F" w:usb1="5000004A" w:usb2="00000000" w:usb3="00000000" w:csb0="00000093" w:csb1="00000000"/>
  </w:font>
  <w:font w:name="Helvetica-Bold">
    <w:altName w:val="Arial"/>
    <w:panose1 w:val="00000000000000000000"/>
    <w:charset w:val="4D"/>
    <w:family w:val="auto"/>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950D79" w14:textId="77777777" w:rsidR="00526A3E" w:rsidRDefault="00526A3E" w:rsidP="00526A3E">
    <w:pPr>
      <w:pStyle w:val="Footer"/>
      <w:rPr>
        <w:noProof/>
        <w:lang w:eastAsia="en-AU"/>
      </w:rPr>
    </w:pPr>
    <w:r>
      <w:rPr>
        <w:noProof/>
        <w:lang w:eastAsia="en-AU"/>
      </w:rPr>
      <w:drawing>
        <wp:anchor distT="0" distB="0" distL="114300" distR="114300" simplePos="0" relativeHeight="251655680" behindDoc="1" locked="0" layoutInCell="1" allowOverlap="1" wp14:anchorId="6D26089F" wp14:editId="3869A6E8">
          <wp:simplePos x="0" y="0"/>
          <wp:positionH relativeFrom="page">
            <wp:align>right</wp:align>
          </wp:positionH>
          <wp:positionV relativeFrom="paragraph">
            <wp:posOffset>85046</wp:posOffset>
          </wp:positionV>
          <wp:extent cx="7559025" cy="452755"/>
          <wp:effectExtent l="0" t="0" r="4445" b="4445"/>
          <wp:wrapNone/>
          <wp:docPr id="647413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41387" name="Picture 1"/>
                  <pic:cNvPicPr/>
                </pic:nvPicPr>
                <pic:blipFill rotWithShape="1">
                  <a:blip r:embed="rId1">
                    <a:extLst>
                      <a:ext uri="{28A0092B-C50C-407E-A947-70E740481C1C}">
                        <a14:useLocalDpi xmlns:a14="http://schemas.microsoft.com/office/drawing/2010/main" val="0"/>
                      </a:ext>
                    </a:extLst>
                  </a:blip>
                  <a:srcRect t="19007"/>
                  <a:stretch>
                    <a:fillRect/>
                  </a:stretch>
                </pic:blipFill>
                <pic:spPr bwMode="auto">
                  <a:xfrm>
                    <a:off x="0" y="0"/>
                    <a:ext cx="7559025" cy="4527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6AB5238" w14:textId="413D080E" w:rsidR="00C13A96" w:rsidRPr="00526A3E" w:rsidRDefault="00BC4056" w:rsidP="00526A3E">
    <w:pPr>
      <w:pStyle w:val="Footer"/>
      <w:rPr>
        <w:rStyle w:val="PageNumber"/>
        <w:sz w:val="20"/>
      </w:rPr>
    </w:pPr>
    <w:sdt>
      <w:sdtPr>
        <w:rPr>
          <w:sz w:val="14"/>
        </w:rPr>
        <w:id w:val="-2141409493"/>
        <w:docPartObj>
          <w:docPartGallery w:val="Page Numbers (Bottom of Page)"/>
          <w:docPartUnique/>
        </w:docPartObj>
      </w:sdtPr>
      <w:sdtEndPr>
        <w:rPr>
          <w:noProof/>
          <w:sz w:val="20"/>
        </w:rPr>
      </w:sdtEndPr>
      <w:sdtContent>
        <w:r w:rsidR="00C13A96" w:rsidRPr="00526A3E">
          <w:fldChar w:fldCharType="begin"/>
        </w:r>
        <w:r w:rsidR="00C13A96" w:rsidRPr="00526A3E">
          <w:instrText xml:space="preserve"> PAGE   \* MERGEFORMAT </w:instrText>
        </w:r>
        <w:r w:rsidR="00C13A96" w:rsidRPr="00526A3E">
          <w:fldChar w:fldCharType="separate"/>
        </w:r>
        <w:r w:rsidR="00C13A96" w:rsidRPr="00526A3E">
          <w:rPr>
            <w:noProof/>
          </w:rPr>
          <w:t>i</w:t>
        </w:r>
        <w:r w:rsidR="00C13A96" w:rsidRPr="00526A3E">
          <w:rPr>
            <w:noProo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3B617C" w14:textId="77777777" w:rsidR="00A00D05" w:rsidRDefault="00A00D05" w:rsidP="00526A3E">
    <w:pPr>
      <w:pStyle w:val="Footer"/>
      <w:rPr>
        <w:noProof/>
        <w:lang w:eastAsia="en-AU"/>
      </w:rPr>
    </w:pPr>
    <w:r>
      <w:rPr>
        <w:noProof/>
        <w:lang w:eastAsia="en-AU"/>
      </w:rPr>
      <w:drawing>
        <wp:anchor distT="0" distB="0" distL="114300" distR="114300" simplePos="0" relativeHeight="251660800" behindDoc="1" locked="0" layoutInCell="1" allowOverlap="1" wp14:anchorId="2FBA3134" wp14:editId="14FE56D5">
          <wp:simplePos x="0" y="0"/>
          <wp:positionH relativeFrom="page">
            <wp:align>right</wp:align>
          </wp:positionH>
          <wp:positionV relativeFrom="paragraph">
            <wp:posOffset>85046</wp:posOffset>
          </wp:positionV>
          <wp:extent cx="7559025" cy="452755"/>
          <wp:effectExtent l="0" t="0" r="4445" b="4445"/>
          <wp:wrapNone/>
          <wp:docPr id="17566963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41387" name="Picture 1"/>
                  <pic:cNvPicPr/>
                </pic:nvPicPr>
                <pic:blipFill rotWithShape="1">
                  <a:blip r:embed="rId1">
                    <a:extLst>
                      <a:ext uri="{28A0092B-C50C-407E-A947-70E740481C1C}">
                        <a14:useLocalDpi xmlns:a14="http://schemas.microsoft.com/office/drawing/2010/main" val="0"/>
                      </a:ext>
                    </a:extLst>
                  </a:blip>
                  <a:srcRect t="19007"/>
                  <a:stretch>
                    <a:fillRect/>
                  </a:stretch>
                </pic:blipFill>
                <pic:spPr bwMode="auto">
                  <a:xfrm>
                    <a:off x="0" y="0"/>
                    <a:ext cx="7559025" cy="4527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7179BA1" w14:textId="77777777" w:rsidR="00A00D05" w:rsidRPr="00526A3E" w:rsidRDefault="00BC4056" w:rsidP="00526A3E">
    <w:pPr>
      <w:pStyle w:val="Footer"/>
      <w:rPr>
        <w:rStyle w:val="PageNumber"/>
        <w:sz w:val="20"/>
      </w:rPr>
    </w:pPr>
    <w:sdt>
      <w:sdtPr>
        <w:rPr>
          <w:sz w:val="14"/>
        </w:rPr>
        <w:id w:val="-363368472"/>
        <w:docPartObj>
          <w:docPartGallery w:val="Page Numbers (Bottom of Page)"/>
          <w:docPartUnique/>
        </w:docPartObj>
      </w:sdtPr>
      <w:sdtEndPr>
        <w:rPr>
          <w:noProof/>
          <w:sz w:val="20"/>
        </w:rPr>
      </w:sdtEndPr>
      <w:sdtContent>
        <w:r w:rsidR="00A00D05" w:rsidRPr="00526A3E">
          <w:fldChar w:fldCharType="begin"/>
        </w:r>
        <w:r w:rsidR="00A00D05" w:rsidRPr="00526A3E">
          <w:instrText xml:space="preserve"> PAGE   \* MERGEFORMAT </w:instrText>
        </w:r>
        <w:r w:rsidR="00A00D05" w:rsidRPr="00526A3E">
          <w:fldChar w:fldCharType="separate"/>
        </w:r>
        <w:r w:rsidR="00A00D05" w:rsidRPr="00526A3E">
          <w:rPr>
            <w:noProof/>
          </w:rPr>
          <w:t>i</w:t>
        </w:r>
        <w:r w:rsidR="00A00D05" w:rsidRPr="00526A3E">
          <w:rPr>
            <w:noProof/>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2EB532" w14:textId="6AE6AD74" w:rsidR="00A00D05" w:rsidRDefault="00A00D05" w:rsidP="00A00D05">
    <w:pPr>
      <w:pStyle w:val="Footer"/>
      <w:jc w:val="center"/>
      <w:rPr>
        <w:noProof/>
        <w:lang w:eastAsia="en-AU"/>
      </w:rPr>
    </w:pPr>
    <w:r>
      <w:rPr>
        <w:noProof/>
        <w:lang w:eastAsia="en-AU"/>
      </w:rPr>
      <w:drawing>
        <wp:anchor distT="0" distB="0" distL="114300" distR="114300" simplePos="0" relativeHeight="251663872" behindDoc="1" locked="0" layoutInCell="1" allowOverlap="1" wp14:anchorId="407488C8" wp14:editId="14DB061F">
          <wp:simplePos x="0" y="0"/>
          <wp:positionH relativeFrom="column">
            <wp:posOffset>-709295</wp:posOffset>
          </wp:positionH>
          <wp:positionV relativeFrom="paragraph">
            <wp:posOffset>-66513</wp:posOffset>
          </wp:positionV>
          <wp:extent cx="7548880" cy="2158365"/>
          <wp:effectExtent l="0" t="0" r="0" b="0"/>
          <wp:wrapNone/>
          <wp:docPr id="16524551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455137" name="Picture 1652455137"/>
                  <pic:cNvPicPr/>
                </pic:nvPicPr>
                <pic:blipFill>
                  <a:blip r:embed="rId1">
                    <a:extLst>
                      <a:ext uri="{28A0092B-C50C-407E-A947-70E740481C1C}">
                        <a14:useLocalDpi xmlns:a14="http://schemas.microsoft.com/office/drawing/2010/main" val="0"/>
                      </a:ext>
                    </a:extLst>
                  </a:blip>
                  <a:stretch>
                    <a:fillRect/>
                  </a:stretch>
                </pic:blipFill>
                <pic:spPr>
                  <a:xfrm>
                    <a:off x="0" y="0"/>
                    <a:ext cx="7548880" cy="2158365"/>
                  </a:xfrm>
                  <a:prstGeom prst="rect">
                    <a:avLst/>
                  </a:prstGeom>
                </pic:spPr>
              </pic:pic>
            </a:graphicData>
          </a:graphic>
          <wp14:sizeRelH relativeFrom="margin">
            <wp14:pctWidth>0</wp14:pctWidth>
          </wp14:sizeRelH>
          <wp14:sizeRelV relativeFrom="margin">
            <wp14:pctHeight>0</wp14:pctHeight>
          </wp14:sizeRelV>
        </wp:anchor>
      </w:drawing>
    </w:r>
  </w:p>
  <w:p w14:paraId="4CB1FC5E" w14:textId="77777777" w:rsidR="00A00D05" w:rsidRDefault="00A00D05" w:rsidP="00A00D05">
    <w:pPr>
      <w:pStyle w:val="Footer"/>
      <w:jc w:val="center"/>
      <w:rPr>
        <w:noProof/>
        <w:lang w:eastAsia="en-AU"/>
      </w:rPr>
    </w:pPr>
  </w:p>
  <w:p w14:paraId="1800D669" w14:textId="77777777" w:rsidR="00A00D05" w:rsidRDefault="00A00D05" w:rsidP="00A00D05">
    <w:pPr>
      <w:pStyle w:val="Footer"/>
      <w:jc w:val="center"/>
      <w:rPr>
        <w:noProof/>
        <w:lang w:eastAsia="en-AU"/>
      </w:rPr>
    </w:pPr>
  </w:p>
  <w:p w14:paraId="091AAC1B" w14:textId="75702920" w:rsidR="00A00D05" w:rsidRDefault="00A00D05" w:rsidP="00A00D05">
    <w:pPr>
      <w:pStyle w:val="Footer"/>
      <w:jc w:val="center"/>
      <w:rPr>
        <w:noProof/>
        <w:lang w:eastAsia="en-AU"/>
      </w:rPr>
    </w:pPr>
  </w:p>
  <w:p w14:paraId="197C79C9" w14:textId="77777777" w:rsidR="00A00D05" w:rsidRDefault="00A00D05" w:rsidP="00A00D05">
    <w:pPr>
      <w:pStyle w:val="Footer"/>
      <w:jc w:val="center"/>
      <w:rPr>
        <w:noProof/>
        <w:lang w:eastAsia="en-AU"/>
      </w:rPr>
    </w:pPr>
  </w:p>
  <w:p w14:paraId="070C20BB" w14:textId="77777777" w:rsidR="00A00D05" w:rsidRDefault="00A00D05" w:rsidP="00A00D05">
    <w:pPr>
      <w:pStyle w:val="Footer"/>
      <w:jc w:val="center"/>
      <w:rPr>
        <w:noProof/>
        <w:lang w:eastAsia="en-AU"/>
      </w:rPr>
    </w:pPr>
  </w:p>
  <w:p w14:paraId="609CC1A7" w14:textId="77777777" w:rsidR="00A00D05" w:rsidRDefault="00A00D05" w:rsidP="00A00D05">
    <w:pPr>
      <w:pStyle w:val="Footer"/>
      <w:jc w:val="center"/>
      <w:rPr>
        <w:noProof/>
        <w:lang w:eastAsia="en-AU"/>
      </w:rPr>
    </w:pPr>
  </w:p>
  <w:p w14:paraId="027646EB" w14:textId="37E5D508" w:rsidR="00A00D05" w:rsidRPr="00526A3E" w:rsidRDefault="00A00D05" w:rsidP="00526A3E">
    <w:pPr>
      <w:pStyle w:val="Footer"/>
      <w:rPr>
        <w:rStyle w:val="PageNumbe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2CC4E4" w14:textId="77777777" w:rsidR="00CA3F8A" w:rsidRDefault="00CA3F8A" w:rsidP="00D41211">
      <w:r>
        <w:separator/>
      </w:r>
    </w:p>
  </w:footnote>
  <w:footnote w:type="continuationSeparator" w:id="0">
    <w:p w14:paraId="6AC5FA96" w14:textId="77777777" w:rsidR="00CA3F8A" w:rsidRDefault="00CA3F8A" w:rsidP="00D41211">
      <w:r>
        <w:continuationSeparator/>
      </w:r>
    </w:p>
  </w:footnote>
  <w:footnote w:id="1">
    <w:p w14:paraId="4FA8ABFD" w14:textId="486EA1CD" w:rsidR="008C5181" w:rsidRDefault="008C5181">
      <w:pPr>
        <w:pStyle w:val="FootnoteText"/>
      </w:pPr>
      <w:r>
        <w:rPr>
          <w:rStyle w:val="FootnoteReference"/>
        </w:rPr>
        <w:footnoteRef/>
      </w:r>
      <w:r>
        <w:t xml:space="preserve"> </w:t>
      </w:r>
      <w:r w:rsidR="000C4A1D">
        <w:t xml:space="preserve">Section </w:t>
      </w:r>
      <w:r>
        <w:t>96</w:t>
      </w:r>
    </w:p>
  </w:footnote>
  <w:footnote w:id="2">
    <w:p w14:paraId="189F6B30" w14:textId="1F0DA035" w:rsidR="00F5754F" w:rsidRDefault="00F5754F">
      <w:pPr>
        <w:pStyle w:val="FootnoteText"/>
      </w:pPr>
      <w:r>
        <w:rPr>
          <w:rStyle w:val="FootnoteReference"/>
        </w:rPr>
        <w:footnoteRef/>
      </w:r>
      <w:r>
        <w:t xml:space="preserve"> Based on 2021 ABS Census Data – Counting persons by dwelling location and dwelling structure</w:t>
      </w:r>
    </w:p>
  </w:footnote>
  <w:footnote w:id="3">
    <w:p w14:paraId="3E7352C1" w14:textId="5DB946E9" w:rsidR="00F5754F" w:rsidRDefault="00F5754F" w:rsidP="00C26B9A">
      <w:pPr>
        <w:pStyle w:val="FootnoteText"/>
        <w:ind w:left="142" w:hanging="142"/>
      </w:pPr>
      <w:r>
        <w:rPr>
          <w:rStyle w:val="FootnoteReference"/>
        </w:rPr>
        <w:footnoteRef/>
      </w:r>
      <w:r>
        <w:t xml:space="preserve"> Based on 2011 ABS Census Data – Counting persons by dwelling location and dwelling structure</w:t>
      </w:r>
    </w:p>
  </w:footnote>
  <w:footnote w:id="4">
    <w:p w14:paraId="2F4D0A59" w14:textId="33FBD441" w:rsidR="004F73C0" w:rsidRDefault="004F73C0" w:rsidP="00C26B9A">
      <w:pPr>
        <w:pStyle w:val="FootnoteText"/>
        <w:ind w:left="142" w:hanging="142"/>
      </w:pPr>
      <w:r>
        <w:rPr>
          <w:rStyle w:val="FootnoteReference"/>
        </w:rPr>
        <w:footnoteRef/>
      </w:r>
      <w:r>
        <w:t xml:space="preserve"> Conducted by the then Department of Mines, Industry Regulation and Safety - Consumer Protection Division</w:t>
      </w:r>
    </w:p>
  </w:footnote>
  <w:footnote w:id="5">
    <w:p w14:paraId="17F460E7" w14:textId="3C2EC6BA" w:rsidR="00CA01B4" w:rsidRDefault="00CA01B4">
      <w:pPr>
        <w:pStyle w:val="FootnoteText"/>
      </w:pPr>
      <w:r>
        <w:rPr>
          <w:rStyle w:val="FootnoteReference"/>
        </w:rPr>
        <w:footnoteRef/>
      </w:r>
      <w:r>
        <w:t xml:space="preserve"> </w:t>
      </w:r>
      <w:r w:rsidRPr="007E39FE">
        <w:rPr>
          <w:i/>
          <w:iCs/>
        </w:rPr>
        <w:t>Residential Parks (Long-stay Tenants) Amendment Act 2020</w:t>
      </w:r>
    </w:p>
  </w:footnote>
  <w:footnote w:id="6">
    <w:p w14:paraId="277CBF42" w14:textId="4AE9BC97" w:rsidR="003103C2" w:rsidRDefault="003103C2" w:rsidP="003103C2">
      <w:pPr>
        <w:pStyle w:val="FootnoteText"/>
      </w:pPr>
      <w:r>
        <w:rPr>
          <w:rStyle w:val="FootnoteReference"/>
        </w:rPr>
        <w:footnoteRef/>
      </w:r>
      <w:r>
        <w:t xml:space="preserve"> See further: </w:t>
      </w:r>
      <w:hyperlink r:id="rId1" w:history="1">
        <w:r w:rsidR="00455D20" w:rsidRPr="00455D20">
          <w:rPr>
            <w:rStyle w:val="Hyperlink"/>
            <w:sz w:val="20"/>
          </w:rPr>
          <w:t>Changes to residential parks laws offer greater certainty</w:t>
        </w:r>
      </w:hyperlink>
    </w:p>
  </w:footnote>
  <w:footnote w:id="7">
    <w:p w14:paraId="7F39D1FC" w14:textId="60F8A775" w:rsidR="00BB6E66" w:rsidRDefault="00BB6E66">
      <w:pPr>
        <w:pStyle w:val="FootnoteText"/>
      </w:pPr>
      <w:r>
        <w:rPr>
          <w:rStyle w:val="FootnoteReference"/>
        </w:rPr>
        <w:footnoteRef/>
      </w:r>
      <w:r>
        <w:t xml:space="preserve"> </w:t>
      </w:r>
      <w:hyperlink r:id="rId2" w:history="1">
        <w:r w:rsidRPr="00BB6E66">
          <w:rPr>
            <w:rStyle w:val="Hyperlink"/>
            <w:sz w:val="20"/>
          </w:rPr>
          <w:t>Life in Residential Parks - CPRC</w:t>
        </w:r>
      </w:hyperlink>
    </w:p>
  </w:footnote>
  <w:footnote w:id="8">
    <w:p w14:paraId="30986D90" w14:textId="77777777" w:rsidR="000F326C" w:rsidRDefault="000F326C" w:rsidP="000F326C">
      <w:pPr>
        <w:pStyle w:val="FootnoteText"/>
      </w:pPr>
      <w:r>
        <w:rPr>
          <w:rStyle w:val="FootnoteReference"/>
        </w:rPr>
        <w:footnoteRef/>
      </w:r>
      <w:r>
        <w:t xml:space="preserve"> Residential parks publications: </w:t>
      </w:r>
      <w:hyperlink r:id="rId3" w:history="1">
        <w:r w:rsidRPr="008E5F06">
          <w:rPr>
            <w:rStyle w:val="Hyperlink"/>
            <w:sz w:val="20"/>
          </w:rPr>
          <w:t>Residential parks publications - Consumer Protection - LGIRS</w:t>
        </w:r>
      </w:hyperlink>
    </w:p>
  </w:footnote>
  <w:footnote w:id="9">
    <w:p w14:paraId="62B004E7" w14:textId="77777777" w:rsidR="000F326C" w:rsidRDefault="000F326C" w:rsidP="000F326C">
      <w:pPr>
        <w:pStyle w:val="FootnoteText"/>
      </w:pPr>
      <w:r>
        <w:rPr>
          <w:rStyle w:val="FootnoteReference"/>
        </w:rPr>
        <w:footnoteRef/>
      </w:r>
      <w:r>
        <w:t xml:space="preserve"> This does not need to be in an approved form</w:t>
      </w:r>
    </w:p>
  </w:footnote>
  <w:footnote w:id="10">
    <w:p w14:paraId="15F04E50" w14:textId="77777777" w:rsidR="00977CB7" w:rsidRDefault="00977CB7" w:rsidP="00977CB7">
      <w:pPr>
        <w:pStyle w:val="FootnoteText"/>
      </w:pPr>
      <w:r>
        <w:rPr>
          <w:rStyle w:val="FootnoteReference"/>
        </w:rPr>
        <w:footnoteRef/>
      </w:r>
      <w:r>
        <w:t xml:space="preserve"> s.21(1) of the </w:t>
      </w:r>
      <w:r w:rsidRPr="00AA7CDD">
        <w:rPr>
          <w:i/>
          <w:iCs/>
        </w:rPr>
        <w:t>Residential Parks (Land Lease Communities) Act 2013</w:t>
      </w:r>
      <w:r>
        <w:t xml:space="preserve"> (NSW)</w:t>
      </w:r>
    </w:p>
  </w:footnote>
  <w:footnote w:id="11">
    <w:p w14:paraId="742A8CC6" w14:textId="77777777" w:rsidR="000F326C" w:rsidRDefault="000F326C" w:rsidP="000F326C">
      <w:pPr>
        <w:pStyle w:val="FootnoteText"/>
      </w:pPr>
      <w:r>
        <w:rPr>
          <w:rStyle w:val="FootnoteReference"/>
        </w:rPr>
        <w:footnoteRef/>
      </w:r>
      <w:r>
        <w:t xml:space="preserve"> Park Living Information Booklet, pp. 4, 6.</w:t>
      </w:r>
    </w:p>
  </w:footnote>
  <w:footnote w:id="12">
    <w:p w14:paraId="1F677148" w14:textId="77777777" w:rsidR="000F326C" w:rsidRDefault="000F326C" w:rsidP="000F326C">
      <w:pPr>
        <w:pStyle w:val="FootnoteText"/>
      </w:pPr>
      <w:r>
        <w:rPr>
          <w:rStyle w:val="FootnoteReference"/>
        </w:rPr>
        <w:footnoteRef/>
      </w:r>
      <w:r>
        <w:t xml:space="preserve"> </w:t>
      </w:r>
      <w:hyperlink r:id="rId4" w:anchor="Residentiallandleasecommunityformsandpublications" w:history="1">
        <w:r w:rsidRPr="00933EAB">
          <w:rPr>
            <w:rStyle w:val="Hyperlink"/>
            <w:sz w:val="20"/>
          </w:rPr>
          <w:t>Forms | NSW Fair Trading</w:t>
        </w:r>
      </w:hyperlink>
      <w:r>
        <w:t xml:space="preserve"> </w:t>
      </w:r>
    </w:p>
  </w:footnote>
  <w:footnote w:id="13">
    <w:p w14:paraId="5E71999E" w14:textId="77777777" w:rsidR="000F326C" w:rsidRDefault="000F326C" w:rsidP="000F326C">
      <w:pPr>
        <w:pStyle w:val="FootnoteText"/>
      </w:pPr>
      <w:r>
        <w:rPr>
          <w:rStyle w:val="FootnoteReference"/>
        </w:rPr>
        <w:footnoteRef/>
      </w:r>
      <w:r>
        <w:t xml:space="preserve"> </w:t>
      </w:r>
      <w:hyperlink r:id="rId5" w:history="1">
        <w:r w:rsidRPr="002D7A8C">
          <w:rPr>
            <w:rStyle w:val="Hyperlink"/>
            <w:sz w:val="20"/>
          </w:rPr>
          <w:t>Forms for residential park managers | Business Queensland</w:t>
        </w:r>
      </w:hyperlink>
      <w:r>
        <w:t xml:space="preserve"> </w:t>
      </w:r>
    </w:p>
  </w:footnote>
  <w:footnote w:id="14">
    <w:p w14:paraId="20B77B02" w14:textId="77777777" w:rsidR="00952B60" w:rsidRDefault="00952B60" w:rsidP="00952B60">
      <w:pPr>
        <w:pStyle w:val="FootnoteText"/>
      </w:pPr>
      <w:r>
        <w:rPr>
          <w:rStyle w:val="FootnoteReference"/>
        </w:rPr>
        <w:footnoteRef/>
      </w:r>
      <w:r>
        <w:t xml:space="preserve"> </w:t>
      </w:r>
      <w:r w:rsidRPr="00C34417">
        <w:rPr>
          <w:i/>
          <w:iCs/>
        </w:rPr>
        <w:t>Residential (Land Lease) Communities Act 2013</w:t>
      </w:r>
      <w:r>
        <w:t xml:space="preserve"> (NSW), Schedule 1 clause 5.</w:t>
      </w:r>
    </w:p>
  </w:footnote>
  <w:footnote w:id="15">
    <w:p w14:paraId="5DB20246" w14:textId="77777777" w:rsidR="00D46B3E" w:rsidRDefault="00D46B3E" w:rsidP="00D46B3E">
      <w:pPr>
        <w:pStyle w:val="FootnoteText"/>
      </w:pPr>
      <w:r>
        <w:rPr>
          <w:rStyle w:val="FootnoteReference"/>
        </w:rPr>
        <w:footnoteRef/>
      </w:r>
      <w:r>
        <w:t xml:space="preserve"> These forms can be found here: </w:t>
      </w:r>
      <w:hyperlink r:id="rId6" w:history="1">
        <w:r w:rsidRPr="00D65044">
          <w:rPr>
            <w:rStyle w:val="Hyperlink"/>
            <w:sz w:val="20"/>
          </w:rPr>
          <w:t>Residential parks publications - Consumer Protection - LGIRS</w:t>
        </w:r>
      </w:hyperlink>
    </w:p>
  </w:footnote>
  <w:footnote w:id="16">
    <w:p w14:paraId="63C90247" w14:textId="77777777" w:rsidR="00324C30" w:rsidRDefault="00324C30" w:rsidP="00324C30">
      <w:pPr>
        <w:pStyle w:val="FootnoteText"/>
      </w:pPr>
      <w:r>
        <w:rPr>
          <w:rStyle w:val="FootnoteReference"/>
        </w:rPr>
        <w:footnoteRef/>
      </w:r>
      <w:r>
        <w:t xml:space="preserve"> For example, ss. 26-27 of the </w:t>
      </w:r>
      <w:r w:rsidRPr="00D50DD2">
        <w:rPr>
          <w:i/>
          <w:iCs/>
        </w:rPr>
        <w:t>Residential (Land Lease) Communities Act 2013</w:t>
      </w:r>
      <w:r>
        <w:t xml:space="preserve"> (NSW).</w:t>
      </w:r>
    </w:p>
  </w:footnote>
  <w:footnote w:id="17">
    <w:p w14:paraId="52097EAF" w14:textId="77777777" w:rsidR="00215C31" w:rsidRDefault="00215C31" w:rsidP="00215C31">
      <w:pPr>
        <w:pStyle w:val="FootnoteText"/>
      </w:pPr>
      <w:r>
        <w:rPr>
          <w:rStyle w:val="FootnoteReference"/>
        </w:rPr>
        <w:footnoteRef/>
      </w:r>
      <w:r>
        <w:t xml:space="preserve"> Section 10(2) of the Act</w:t>
      </w:r>
    </w:p>
  </w:footnote>
  <w:footnote w:id="18">
    <w:p w14:paraId="49903D3E" w14:textId="7BA01912" w:rsidR="00D46B3E" w:rsidRDefault="00D46B3E">
      <w:pPr>
        <w:pStyle w:val="FootnoteText"/>
      </w:pPr>
      <w:r>
        <w:rPr>
          <w:rStyle w:val="FootnoteReference"/>
        </w:rPr>
        <w:footnoteRef/>
      </w:r>
      <w:r>
        <w:t xml:space="preserve"> Standard form agreements are currently prescribed – see Regulation 5 and Schedules 1 and 2 of the Regulations</w:t>
      </w:r>
    </w:p>
  </w:footnote>
  <w:footnote w:id="19">
    <w:p w14:paraId="514DDA50" w14:textId="77777777" w:rsidR="00215C31" w:rsidRDefault="00215C31" w:rsidP="00215C31">
      <w:pPr>
        <w:pStyle w:val="FootnoteText"/>
      </w:pPr>
      <w:r>
        <w:rPr>
          <w:rStyle w:val="FootnoteReference"/>
        </w:rPr>
        <w:footnoteRef/>
      </w:r>
      <w:r>
        <w:t xml:space="preserve"> Section 62(2) of the Act</w:t>
      </w:r>
    </w:p>
  </w:footnote>
  <w:footnote w:id="20">
    <w:p w14:paraId="32BD07A1" w14:textId="77777777" w:rsidR="00215C31" w:rsidRDefault="00215C31" w:rsidP="00215C31">
      <w:pPr>
        <w:pStyle w:val="FootnoteText"/>
      </w:pPr>
      <w:r>
        <w:rPr>
          <w:rStyle w:val="FootnoteReference"/>
        </w:rPr>
        <w:footnoteRef/>
      </w:r>
      <w:r>
        <w:t xml:space="preserve"> Section 34 of the Act</w:t>
      </w:r>
    </w:p>
  </w:footnote>
  <w:footnote w:id="21">
    <w:p w14:paraId="18DA79CB" w14:textId="77777777" w:rsidR="00215C31" w:rsidRDefault="00215C31" w:rsidP="00215C31">
      <w:pPr>
        <w:pStyle w:val="FootnoteText"/>
      </w:pPr>
      <w:r>
        <w:rPr>
          <w:rStyle w:val="FootnoteReference"/>
        </w:rPr>
        <w:footnoteRef/>
      </w:r>
      <w:r>
        <w:t xml:space="preserve"> Section 10C of the Act</w:t>
      </w:r>
    </w:p>
  </w:footnote>
  <w:footnote w:id="22">
    <w:p w14:paraId="4D9E0693" w14:textId="07F55D28" w:rsidR="00837626" w:rsidRDefault="00837626">
      <w:pPr>
        <w:pStyle w:val="FootnoteText"/>
      </w:pPr>
      <w:r>
        <w:rPr>
          <w:rStyle w:val="FootnoteReference"/>
        </w:rPr>
        <w:footnoteRef/>
      </w:r>
      <w:r>
        <w:t xml:space="preserve"> Section 6 of the Act</w:t>
      </w:r>
    </w:p>
  </w:footnote>
  <w:footnote w:id="23">
    <w:p w14:paraId="31CBAD0D" w14:textId="610FAF8B" w:rsidR="00E757A6" w:rsidRDefault="00E757A6">
      <w:pPr>
        <w:pStyle w:val="FootnoteText"/>
      </w:pPr>
      <w:r>
        <w:rPr>
          <w:rStyle w:val="FootnoteReference"/>
        </w:rPr>
        <w:footnoteRef/>
      </w:r>
      <w:r>
        <w:t xml:space="preserve"> </w:t>
      </w:r>
      <w:hyperlink r:id="rId7" w:history="1">
        <w:r w:rsidRPr="00D936A7">
          <w:rPr>
            <w:rStyle w:val="Hyperlink"/>
            <w:sz w:val="20"/>
          </w:rPr>
          <w:t>www.consumerprotection.wa.gov.au/residential-parks-publications</w:t>
        </w:r>
      </w:hyperlink>
      <w:r w:rsidRPr="0091218D">
        <w:t>.</w:t>
      </w:r>
    </w:p>
  </w:footnote>
  <w:footnote w:id="24">
    <w:p w14:paraId="7E20F719" w14:textId="20182A6E" w:rsidR="00EA33BA" w:rsidRDefault="00EA33BA">
      <w:pPr>
        <w:pStyle w:val="FootnoteText"/>
      </w:pPr>
      <w:r>
        <w:rPr>
          <w:rStyle w:val="FootnoteReference"/>
        </w:rPr>
        <w:footnoteRef/>
      </w:r>
      <w:r>
        <w:t xml:space="preserve"> Section 106 of the Act</w:t>
      </w:r>
    </w:p>
  </w:footnote>
  <w:footnote w:id="25">
    <w:p w14:paraId="487B7DE8" w14:textId="77777777" w:rsidR="00353F0B" w:rsidRDefault="00353F0B" w:rsidP="00353F0B">
      <w:pPr>
        <w:pStyle w:val="FootnoteText"/>
      </w:pPr>
      <w:r>
        <w:rPr>
          <w:rStyle w:val="FootnoteReference"/>
        </w:rPr>
        <w:footnoteRef/>
      </w:r>
      <w:r>
        <w:t xml:space="preserve"> Sections 29A and 30 of the Act</w:t>
      </w:r>
    </w:p>
  </w:footnote>
  <w:footnote w:id="26">
    <w:p w14:paraId="449A197A" w14:textId="77777777" w:rsidR="00353F0B" w:rsidRDefault="00353F0B" w:rsidP="00353F0B">
      <w:pPr>
        <w:pStyle w:val="FootnoteText"/>
      </w:pPr>
      <w:r>
        <w:rPr>
          <w:rStyle w:val="FootnoteReference"/>
        </w:rPr>
        <w:footnoteRef/>
      </w:r>
      <w:r>
        <w:t xml:space="preserve"> </w:t>
      </w:r>
      <w:hyperlink r:id="rId8" w:history="1">
        <w:r w:rsidRPr="00557120">
          <w:rPr>
            <w:rStyle w:val="Hyperlink"/>
            <w:sz w:val="20"/>
          </w:rPr>
          <w:t>Rent increases - Consumer Protection - LGIRS</w:t>
        </w:r>
      </w:hyperlink>
    </w:p>
  </w:footnote>
  <w:footnote w:id="27">
    <w:p w14:paraId="0E8E116B" w14:textId="77777777" w:rsidR="0034721F" w:rsidRDefault="0034721F" w:rsidP="00750483">
      <w:pPr>
        <w:pStyle w:val="FootnoteText"/>
      </w:pPr>
      <w:r>
        <w:rPr>
          <w:rStyle w:val="FootnoteReference"/>
        </w:rPr>
        <w:footnoteRef/>
      </w:r>
      <w:r>
        <w:t xml:space="preserve"> </w:t>
      </w:r>
      <w:r w:rsidRPr="00E8338B">
        <w:rPr>
          <w:i/>
          <w:iCs/>
        </w:rPr>
        <w:t>Manufactured Home (Residential Parks) Act 2003</w:t>
      </w:r>
      <w:r>
        <w:rPr>
          <w:i/>
          <w:iCs/>
        </w:rPr>
        <w:t xml:space="preserve"> </w:t>
      </w:r>
      <w:r w:rsidRPr="00E8338B">
        <w:t>(</w:t>
      </w:r>
      <w:r>
        <w:t>QLD</w:t>
      </w:r>
      <w:r w:rsidRPr="00E8338B">
        <w:t>),</w:t>
      </w:r>
      <w:r>
        <w:t xml:space="preserve"> section 69E.</w:t>
      </w:r>
    </w:p>
  </w:footnote>
  <w:footnote w:id="28">
    <w:p w14:paraId="7DC692CE" w14:textId="7F7CD267" w:rsidR="00F82F8F" w:rsidRDefault="00F82F8F">
      <w:pPr>
        <w:pStyle w:val="FootnoteText"/>
      </w:pPr>
      <w:r>
        <w:rPr>
          <w:rStyle w:val="FootnoteReference"/>
        </w:rPr>
        <w:footnoteRef/>
      </w:r>
      <w:r>
        <w:t xml:space="preserve"> The CPI is released monthly and quarterly, and with reference to each capital city. The CPI can vary within each. For further information, see </w:t>
      </w:r>
      <w:hyperlink r:id="rId9" w:history="1">
        <w:r w:rsidRPr="00F82F8F">
          <w:rPr>
            <w:rStyle w:val="Hyperlink"/>
            <w:sz w:val="20"/>
          </w:rPr>
          <w:t>Consumer Price Index: Concepts, Sources and Methods, 2025 | Australian Bureau of Statistics</w:t>
        </w:r>
      </w:hyperlink>
    </w:p>
  </w:footnote>
  <w:footnote w:id="29">
    <w:p w14:paraId="3A4D2FD1" w14:textId="1DE5FA4B" w:rsidR="000739D7" w:rsidRDefault="000739D7">
      <w:pPr>
        <w:pStyle w:val="FootnoteText"/>
      </w:pPr>
      <w:r>
        <w:rPr>
          <w:rStyle w:val="FootnoteReference"/>
        </w:rPr>
        <w:footnoteRef/>
      </w:r>
      <w:r>
        <w:t xml:space="preserve"> See sections 12 and 31 of the Act.</w:t>
      </w:r>
    </w:p>
  </w:footnote>
  <w:footnote w:id="30">
    <w:p w14:paraId="09767532" w14:textId="06FE16F2" w:rsidR="00D444A2" w:rsidRDefault="00D444A2">
      <w:pPr>
        <w:pStyle w:val="FootnoteText"/>
      </w:pPr>
      <w:r>
        <w:rPr>
          <w:rStyle w:val="FootnoteReference"/>
        </w:rPr>
        <w:footnoteRef/>
      </w:r>
      <w:r>
        <w:t xml:space="preserve"> Includes fees for matters such as electricity and water consumption, storage, gardening</w:t>
      </w:r>
    </w:p>
  </w:footnote>
  <w:footnote w:id="31">
    <w:p w14:paraId="7F014281" w14:textId="6879DFDB" w:rsidR="00911A60" w:rsidRDefault="00911A60">
      <w:pPr>
        <w:pStyle w:val="FootnoteText"/>
      </w:pPr>
      <w:r>
        <w:rPr>
          <w:rStyle w:val="FootnoteReference"/>
        </w:rPr>
        <w:footnoteRef/>
      </w:r>
      <w:r>
        <w:t xml:space="preserve"> </w:t>
      </w:r>
      <w:hyperlink r:id="rId10" w:history="1">
        <w:r w:rsidRPr="00911A60">
          <w:rPr>
            <w:rStyle w:val="Hyperlink"/>
            <w:sz w:val="20"/>
          </w:rPr>
          <w:t>Electricity charges in residential parks - Consumer Protection - LGIRS</w:t>
        </w:r>
      </w:hyperlink>
    </w:p>
  </w:footnote>
  <w:footnote w:id="32">
    <w:p w14:paraId="5A11F022" w14:textId="1B5E12F5" w:rsidR="001C452F" w:rsidRDefault="001C452F" w:rsidP="001C452F">
      <w:pPr>
        <w:pStyle w:val="FootnoteText"/>
      </w:pPr>
      <w:r>
        <w:rPr>
          <w:rStyle w:val="FootnoteReference"/>
        </w:rPr>
        <w:footnoteRef/>
      </w:r>
      <w:r>
        <w:t xml:space="preserve"> </w:t>
      </w:r>
      <w:r w:rsidRPr="00FF3ACE">
        <w:rPr>
          <w:i/>
          <w:iCs/>
        </w:rPr>
        <w:t>Residential (Land Lease) Communities Act 2013</w:t>
      </w:r>
      <w:r>
        <w:rPr>
          <w:i/>
          <w:iCs/>
        </w:rPr>
        <w:t xml:space="preserve"> (NSW)</w:t>
      </w:r>
      <w:r>
        <w:t xml:space="preserve">, Part 4 Division 3 </w:t>
      </w:r>
    </w:p>
  </w:footnote>
  <w:footnote w:id="33">
    <w:p w14:paraId="7D363452" w14:textId="77777777" w:rsidR="001C452F" w:rsidRDefault="001C452F" w:rsidP="001C452F">
      <w:pPr>
        <w:pStyle w:val="FootnoteText"/>
      </w:pPr>
      <w:r>
        <w:rPr>
          <w:rStyle w:val="FootnoteReference"/>
        </w:rPr>
        <w:footnoteRef/>
      </w:r>
      <w:r>
        <w:t xml:space="preserve"> Residential (Land Lease) Communities Act 2013 Statutory Review (2021), NSW Department of Customer Service, pp.22-23.</w:t>
      </w:r>
    </w:p>
  </w:footnote>
  <w:footnote w:id="34">
    <w:p w14:paraId="1B1731DD" w14:textId="20102082" w:rsidR="004864BC" w:rsidRDefault="004864BC">
      <w:pPr>
        <w:pStyle w:val="FootnoteText"/>
      </w:pPr>
      <w:r>
        <w:rPr>
          <w:rStyle w:val="FootnoteReference"/>
        </w:rPr>
        <w:footnoteRef/>
      </w:r>
      <w:r>
        <w:t xml:space="preserve"> </w:t>
      </w:r>
      <w:r w:rsidRPr="00FF3ACE">
        <w:rPr>
          <w:i/>
          <w:iCs/>
        </w:rPr>
        <w:t>Residential (Land Lease) Communities Act 2013</w:t>
      </w:r>
      <w:r>
        <w:rPr>
          <w:i/>
          <w:iCs/>
        </w:rPr>
        <w:t xml:space="preserve"> (NSW)</w:t>
      </w:r>
      <w:r>
        <w:t>, Part 4 Division 3</w:t>
      </w:r>
    </w:p>
  </w:footnote>
  <w:footnote w:id="35">
    <w:p w14:paraId="2382242E" w14:textId="77777777" w:rsidR="001C452F" w:rsidRDefault="001C452F" w:rsidP="001C452F">
      <w:pPr>
        <w:pStyle w:val="FootnoteText"/>
      </w:pPr>
      <w:r>
        <w:rPr>
          <w:rStyle w:val="FootnoteReference"/>
        </w:rPr>
        <w:footnoteRef/>
      </w:r>
      <w:r>
        <w:t xml:space="preserve"> Section 18(3) of the </w:t>
      </w:r>
      <w:r w:rsidRPr="001F6934">
        <w:rPr>
          <w:i/>
          <w:iCs/>
        </w:rPr>
        <w:t>Residential Parks Act 2007</w:t>
      </w:r>
      <w:r>
        <w:t xml:space="preserve"> (SA)</w:t>
      </w:r>
    </w:p>
  </w:footnote>
  <w:footnote w:id="36">
    <w:p w14:paraId="20E2B231" w14:textId="77777777" w:rsidR="007B4A30" w:rsidRDefault="007B4A30" w:rsidP="007B4A30">
      <w:pPr>
        <w:pStyle w:val="FootnoteText"/>
      </w:pPr>
      <w:r>
        <w:rPr>
          <w:rStyle w:val="FootnoteReference"/>
        </w:rPr>
        <w:footnoteRef/>
      </w:r>
      <w:r>
        <w:t xml:space="preserve"> Section 54A of the Act</w:t>
      </w:r>
    </w:p>
  </w:footnote>
  <w:footnote w:id="37">
    <w:p w14:paraId="06F671AB" w14:textId="77777777" w:rsidR="003A5050" w:rsidRDefault="003A5050" w:rsidP="003A5050">
      <w:pPr>
        <w:pStyle w:val="FootnoteText"/>
      </w:pPr>
      <w:r>
        <w:rPr>
          <w:rStyle w:val="FootnoteReference"/>
        </w:rPr>
        <w:footnoteRef/>
      </w:r>
      <w:r>
        <w:t xml:space="preserve"> Regulation 14A of the Regulations</w:t>
      </w:r>
    </w:p>
  </w:footnote>
  <w:footnote w:id="38">
    <w:p w14:paraId="1D3A0351" w14:textId="02DF3503" w:rsidR="003A5050" w:rsidRDefault="003A5050">
      <w:pPr>
        <w:pStyle w:val="FootnoteText"/>
      </w:pPr>
      <w:r>
        <w:rPr>
          <w:rStyle w:val="FootnoteReference"/>
        </w:rPr>
        <w:footnoteRef/>
      </w:r>
      <w:r>
        <w:t xml:space="preserve"> </w:t>
      </w:r>
      <w:r w:rsidR="006B22DF">
        <w:t>Regulation 14B of the Regulations</w:t>
      </w:r>
    </w:p>
  </w:footnote>
  <w:footnote w:id="39">
    <w:p w14:paraId="510666F9" w14:textId="77777777" w:rsidR="00D02964" w:rsidRDefault="00D02964" w:rsidP="00D02964">
      <w:pPr>
        <w:pStyle w:val="FootnoteText"/>
      </w:pPr>
      <w:r>
        <w:rPr>
          <w:rStyle w:val="FootnoteReference"/>
        </w:rPr>
        <w:footnoteRef/>
      </w:r>
      <w:r>
        <w:t xml:space="preserve"> Section 54D of the Act</w:t>
      </w:r>
    </w:p>
  </w:footnote>
  <w:footnote w:id="40">
    <w:p w14:paraId="7DA9409C" w14:textId="77777777" w:rsidR="00D02964" w:rsidRDefault="00D02964" w:rsidP="00D02964">
      <w:pPr>
        <w:pStyle w:val="FootnoteText"/>
      </w:pPr>
      <w:r>
        <w:rPr>
          <w:rStyle w:val="FootnoteReference"/>
        </w:rPr>
        <w:footnoteRef/>
      </w:r>
      <w:r>
        <w:t xml:space="preserve"> Section 10A requires all long-stay agreements to include this term as it is included in the prescribed standard for agreements in Schedules 1 and 2 of the Regulations </w:t>
      </w:r>
    </w:p>
  </w:footnote>
  <w:footnote w:id="41">
    <w:p w14:paraId="4E659BB8" w14:textId="77777777" w:rsidR="00B74D60" w:rsidRDefault="00B74D60" w:rsidP="00B74D60">
      <w:pPr>
        <w:pStyle w:val="FootnoteText"/>
      </w:pPr>
      <w:r>
        <w:rPr>
          <w:rStyle w:val="FootnoteReference"/>
        </w:rPr>
        <w:footnoteRef/>
      </w:r>
      <w:r>
        <w:t xml:space="preserve"> Section 40 of the Act</w:t>
      </w:r>
    </w:p>
  </w:footnote>
  <w:footnote w:id="42">
    <w:p w14:paraId="08514A26" w14:textId="20014EBE" w:rsidR="00DC5987" w:rsidRDefault="00DC5987">
      <w:pPr>
        <w:pStyle w:val="FootnoteText"/>
      </w:pPr>
      <w:r>
        <w:rPr>
          <w:rStyle w:val="FootnoteReference"/>
        </w:rPr>
        <w:footnoteRef/>
      </w:r>
      <w:r>
        <w:t xml:space="preserve"> </w:t>
      </w:r>
      <w:r w:rsidR="00A8117E">
        <w:t xml:space="preserve">Section 55, </w:t>
      </w:r>
      <w:r w:rsidR="00A8117E" w:rsidRPr="00D50DD2">
        <w:rPr>
          <w:i/>
          <w:iCs/>
        </w:rPr>
        <w:t>Residential (Land Lease) Communities Act 2013</w:t>
      </w:r>
      <w:r w:rsidR="00A8117E">
        <w:t xml:space="preserve"> (NSW)</w:t>
      </w:r>
    </w:p>
  </w:footnote>
  <w:footnote w:id="43">
    <w:p w14:paraId="594FD008" w14:textId="44C6B6C2" w:rsidR="004B7E26" w:rsidRDefault="004B7E26">
      <w:pPr>
        <w:pStyle w:val="FootnoteText"/>
      </w:pPr>
      <w:r>
        <w:rPr>
          <w:rStyle w:val="FootnoteReference"/>
        </w:rPr>
        <w:footnoteRef/>
      </w:r>
      <w:r>
        <w:t xml:space="preserve"> Section 68(7)</w:t>
      </w:r>
      <w:r w:rsidR="00AF0E78">
        <w:t xml:space="preserve"> of the Act</w:t>
      </w:r>
    </w:p>
  </w:footnote>
  <w:footnote w:id="44">
    <w:p w14:paraId="6355C989" w14:textId="6D3696F4" w:rsidR="004B7E26" w:rsidRDefault="004B7E26">
      <w:pPr>
        <w:pStyle w:val="FootnoteText"/>
      </w:pPr>
      <w:r>
        <w:rPr>
          <w:rStyle w:val="FootnoteReference"/>
        </w:rPr>
        <w:footnoteRef/>
      </w:r>
      <w:r>
        <w:t xml:space="preserve"> Sections 26A and 26B of the </w:t>
      </w:r>
      <w:r w:rsidRPr="007E39FE">
        <w:rPr>
          <w:i/>
          <w:iCs/>
        </w:rPr>
        <w:t>Residential Tenancies Act 1987</w:t>
      </w:r>
      <w:r w:rsidR="00AF0E78">
        <w:rPr>
          <w:i/>
          <w:iCs/>
        </w:rPr>
        <w:t xml:space="preserve"> </w:t>
      </w:r>
      <w:r w:rsidR="00AF0E78" w:rsidRPr="001F6934">
        <w:t>(WA)</w:t>
      </w:r>
    </w:p>
  </w:footnote>
  <w:footnote w:id="45">
    <w:p w14:paraId="55A76C10" w14:textId="4B05BD35" w:rsidR="008D1C03" w:rsidRDefault="008D1C03">
      <w:pPr>
        <w:pStyle w:val="FootnoteText"/>
      </w:pPr>
      <w:r>
        <w:rPr>
          <w:rStyle w:val="FootnoteReference"/>
        </w:rPr>
        <w:footnoteRef/>
      </w:r>
      <w:r>
        <w:t xml:space="preserve"> Section 61 of the Act</w:t>
      </w:r>
    </w:p>
  </w:footnote>
  <w:footnote w:id="46">
    <w:p w14:paraId="335A2417" w14:textId="30724605" w:rsidR="007C0F92" w:rsidRDefault="007C0F92">
      <w:pPr>
        <w:pStyle w:val="FootnoteText"/>
      </w:pPr>
      <w:r>
        <w:rPr>
          <w:rStyle w:val="FootnoteReference"/>
        </w:rPr>
        <w:footnoteRef/>
      </w:r>
      <w:r>
        <w:t xml:space="preserve"> Section 60 of the Act</w:t>
      </w:r>
    </w:p>
  </w:footnote>
  <w:footnote w:id="47">
    <w:p w14:paraId="39D3D587" w14:textId="41464ED1" w:rsidR="00C209D2" w:rsidRDefault="00C209D2">
      <w:pPr>
        <w:pStyle w:val="FootnoteText"/>
      </w:pPr>
      <w:r>
        <w:rPr>
          <w:rStyle w:val="FootnoteReference"/>
        </w:rPr>
        <w:footnoteRef/>
      </w:r>
      <w:r>
        <w:t xml:space="preserve"> Section 59 of the Act</w:t>
      </w:r>
    </w:p>
  </w:footnote>
  <w:footnote w:id="48">
    <w:p w14:paraId="58A389A8" w14:textId="57BB8187" w:rsidR="00B45357" w:rsidRDefault="00B45357" w:rsidP="00B45357">
      <w:pPr>
        <w:pStyle w:val="FootnoteText"/>
      </w:pPr>
      <w:r>
        <w:rPr>
          <w:rStyle w:val="FootnoteReference"/>
        </w:rPr>
        <w:footnoteRef/>
      </w:r>
      <w:r>
        <w:t xml:space="preserve"> </w:t>
      </w:r>
      <w:r w:rsidR="00F7366D">
        <w:t>Part 9</w:t>
      </w:r>
      <w:r>
        <w:t xml:space="preserve"> of the </w:t>
      </w:r>
      <w:r w:rsidRPr="00D50DD2">
        <w:rPr>
          <w:i/>
          <w:iCs/>
        </w:rPr>
        <w:t>Residential (Land Lease) Communities Act 2013</w:t>
      </w:r>
      <w:r>
        <w:t xml:space="preserve"> (NSW).</w:t>
      </w:r>
    </w:p>
  </w:footnote>
  <w:footnote w:id="49">
    <w:p w14:paraId="0C49C51D" w14:textId="15F7A9D7" w:rsidR="00B45357" w:rsidRDefault="00B45357">
      <w:pPr>
        <w:pStyle w:val="FootnoteText"/>
      </w:pPr>
      <w:r>
        <w:rPr>
          <w:rStyle w:val="FootnoteReference"/>
        </w:rPr>
        <w:footnoteRef/>
      </w:r>
      <w:r>
        <w:t xml:space="preserve"> Part </w:t>
      </w:r>
      <w:r w:rsidR="00F7366D">
        <w:t xml:space="preserve">19 of the </w:t>
      </w:r>
      <w:r w:rsidR="00F7366D" w:rsidRPr="00E8338B">
        <w:rPr>
          <w:i/>
          <w:iCs/>
        </w:rPr>
        <w:t>Manufactured Home (Residential Parks) Act 2003</w:t>
      </w:r>
      <w:r w:rsidR="00F7366D">
        <w:rPr>
          <w:i/>
          <w:iCs/>
        </w:rPr>
        <w:t xml:space="preserve"> </w:t>
      </w:r>
      <w:r w:rsidR="00F7366D" w:rsidRPr="00E8338B">
        <w:t>(</w:t>
      </w:r>
      <w:r w:rsidR="0035575A">
        <w:t>QLD</w:t>
      </w:r>
      <w:r w:rsidR="00F7366D" w:rsidRPr="00E8338B">
        <w:t>)</w:t>
      </w:r>
      <w:r w:rsidR="00F7366D">
        <w:t>.</w:t>
      </w:r>
    </w:p>
  </w:footnote>
  <w:footnote w:id="50">
    <w:p w14:paraId="70D9A38F" w14:textId="77777777" w:rsidR="00BF1773" w:rsidRDefault="00BF1773" w:rsidP="00BF1773">
      <w:pPr>
        <w:pStyle w:val="FootnoteText"/>
      </w:pPr>
      <w:r>
        <w:rPr>
          <w:rStyle w:val="FootnoteReference"/>
        </w:rPr>
        <w:footnoteRef/>
      </w:r>
      <w:r>
        <w:t xml:space="preserve"> Section 32J of the Act</w:t>
      </w:r>
    </w:p>
  </w:footnote>
  <w:footnote w:id="51">
    <w:p w14:paraId="69469BB2" w14:textId="77777777" w:rsidR="00C82308" w:rsidRDefault="00C82308" w:rsidP="00C82308">
      <w:pPr>
        <w:pStyle w:val="FootnoteText"/>
      </w:pPr>
      <w:r>
        <w:rPr>
          <w:rStyle w:val="FootnoteReference"/>
        </w:rPr>
        <w:footnoteRef/>
      </w:r>
      <w:r>
        <w:t xml:space="preserve"> Section 32L of the Act</w:t>
      </w:r>
    </w:p>
  </w:footnote>
  <w:footnote w:id="52">
    <w:p w14:paraId="33A568F5" w14:textId="76526225" w:rsidR="00A52AFA" w:rsidRDefault="00A52AFA">
      <w:pPr>
        <w:pStyle w:val="FootnoteText"/>
      </w:pPr>
      <w:r>
        <w:rPr>
          <w:rStyle w:val="FootnoteReference"/>
        </w:rPr>
        <w:footnoteRef/>
      </w:r>
      <w:r>
        <w:t xml:space="preserve"> Regulation 11 – electricity, gas, water (including supply of hot water), sewerage/septic tank, refrigerator (if supplied with premises)</w:t>
      </w:r>
    </w:p>
  </w:footnote>
  <w:footnote w:id="53">
    <w:p w14:paraId="043320DD" w14:textId="2A71BAB9" w:rsidR="00524C47" w:rsidRDefault="00524C47" w:rsidP="00524C47">
      <w:pPr>
        <w:pStyle w:val="FootnoteText"/>
      </w:pPr>
      <w:r>
        <w:rPr>
          <w:rStyle w:val="FootnoteReference"/>
        </w:rPr>
        <w:footnoteRef/>
      </w:r>
      <w:r>
        <w:t xml:space="preserve"> Section 32M</w:t>
      </w:r>
      <w:r w:rsidR="00AF0E78">
        <w:t xml:space="preserve"> of the Act</w:t>
      </w:r>
    </w:p>
  </w:footnote>
  <w:footnote w:id="54">
    <w:p w14:paraId="01A5AEA9" w14:textId="22F847E0" w:rsidR="00980462" w:rsidRDefault="00980462">
      <w:pPr>
        <w:pStyle w:val="FootnoteText"/>
      </w:pPr>
      <w:r>
        <w:rPr>
          <w:rStyle w:val="FootnoteReference"/>
        </w:rPr>
        <w:footnoteRef/>
      </w:r>
      <w:r>
        <w:t xml:space="preserve"> Section 32L(2)</w:t>
      </w:r>
      <w:r w:rsidR="00E50B67">
        <w:t>(a)</w:t>
      </w:r>
      <w:r>
        <w:t xml:space="preserve"> of the Act</w:t>
      </w:r>
    </w:p>
  </w:footnote>
  <w:footnote w:id="55">
    <w:p w14:paraId="47CCC481" w14:textId="77777777" w:rsidR="00B75DDA" w:rsidRDefault="00B75DDA" w:rsidP="00B75DDA">
      <w:pPr>
        <w:pStyle w:val="FootnoteText"/>
      </w:pPr>
      <w:r>
        <w:rPr>
          <w:rStyle w:val="FootnoteReference"/>
        </w:rPr>
        <w:footnoteRef/>
      </w:r>
      <w:r>
        <w:t xml:space="preserve"> Section 61(2) of the Act</w:t>
      </w:r>
    </w:p>
  </w:footnote>
  <w:footnote w:id="56">
    <w:p w14:paraId="0B97BEA6" w14:textId="6249F6DD" w:rsidR="00BB3DBD" w:rsidRDefault="00BB3DBD" w:rsidP="00BB3DBD">
      <w:pPr>
        <w:pStyle w:val="FootnoteText"/>
      </w:pPr>
      <w:r>
        <w:rPr>
          <w:rStyle w:val="FootnoteReference"/>
        </w:rPr>
        <w:footnoteRef/>
      </w:r>
      <w:r>
        <w:t xml:space="preserve"> Section 17 of the </w:t>
      </w:r>
      <w:r w:rsidRPr="009D0C8C">
        <w:rPr>
          <w:i/>
          <w:iCs/>
        </w:rPr>
        <w:t>Manufactured Homes (Residential Parks) Act 2003</w:t>
      </w:r>
      <w:r>
        <w:t xml:space="preserve"> (</w:t>
      </w:r>
      <w:r w:rsidR="0035575A">
        <w:t>QLD</w:t>
      </w:r>
      <w:r>
        <w:t>).</w:t>
      </w:r>
    </w:p>
  </w:footnote>
  <w:footnote w:id="57">
    <w:p w14:paraId="577991B0" w14:textId="77777777" w:rsidR="00BB3DBD" w:rsidRDefault="00BB3DBD" w:rsidP="00BB3DBD">
      <w:pPr>
        <w:pStyle w:val="FootnoteText"/>
      </w:pPr>
      <w:r>
        <w:rPr>
          <w:rStyle w:val="FootnoteReference"/>
        </w:rPr>
        <w:footnoteRef/>
      </w:r>
      <w:r>
        <w:t xml:space="preserve"> Sections 35 of the </w:t>
      </w:r>
      <w:r w:rsidRPr="00B2489B">
        <w:rPr>
          <w:i/>
          <w:iCs/>
        </w:rPr>
        <w:t>Residential Parks Act 2007</w:t>
      </w:r>
      <w:r>
        <w:t xml:space="preserve"> (SA) </w:t>
      </w:r>
    </w:p>
  </w:footnote>
  <w:footnote w:id="58">
    <w:p w14:paraId="6DD6ED4B" w14:textId="77777777" w:rsidR="00BB3DBD" w:rsidRDefault="00BB3DBD" w:rsidP="00BB3DBD">
      <w:pPr>
        <w:pStyle w:val="FootnoteText"/>
      </w:pPr>
      <w:r>
        <w:rPr>
          <w:rStyle w:val="FootnoteReference"/>
        </w:rPr>
        <w:footnoteRef/>
      </w:r>
      <w:r>
        <w:t xml:space="preserve"> Section 37 </w:t>
      </w:r>
      <w:r w:rsidRPr="00D50DD2">
        <w:rPr>
          <w:i/>
          <w:iCs/>
        </w:rPr>
        <w:t>Residential (Land Lease) Communities Act 2013</w:t>
      </w:r>
      <w:r>
        <w:t xml:space="preserve"> (NSW).</w:t>
      </w:r>
    </w:p>
  </w:footnote>
  <w:footnote w:id="59">
    <w:p w14:paraId="25B626B6" w14:textId="6CDE4DE7" w:rsidR="00980462" w:rsidRDefault="00980462">
      <w:pPr>
        <w:pStyle w:val="FootnoteText"/>
      </w:pPr>
      <w:r>
        <w:rPr>
          <w:rStyle w:val="FootnoteReference"/>
        </w:rPr>
        <w:footnoteRef/>
      </w:r>
      <w:r>
        <w:t xml:space="preserve"> LGIRS, Consultation Regulatory Impact Statement – A review of the Residential Tenancies Act 1987 (WA) (2019), p.77.</w:t>
      </w:r>
    </w:p>
  </w:footnote>
  <w:footnote w:id="60">
    <w:p w14:paraId="490419CF" w14:textId="1266298F" w:rsidR="00337B89" w:rsidRDefault="00337B89">
      <w:pPr>
        <w:pStyle w:val="FootnoteText"/>
      </w:pPr>
      <w:r>
        <w:rPr>
          <w:rStyle w:val="FootnoteReference"/>
        </w:rPr>
        <w:footnoteRef/>
      </w:r>
      <w:r>
        <w:t xml:space="preserve"> How to lodge a complaint with Consumer Protection can be found here: </w:t>
      </w:r>
      <w:hyperlink r:id="rId11" w:history="1">
        <w:r w:rsidRPr="00337B89">
          <w:rPr>
            <w:rStyle w:val="Hyperlink"/>
            <w:sz w:val="20"/>
          </w:rPr>
          <w:t>Complaints - Consumer Protection - LGIRS</w:t>
        </w:r>
      </w:hyperlink>
    </w:p>
  </w:footnote>
  <w:footnote w:id="61">
    <w:p w14:paraId="02CC86F6" w14:textId="49488ADD" w:rsidR="009F7737" w:rsidRDefault="009F7737">
      <w:pPr>
        <w:pStyle w:val="FootnoteText"/>
      </w:pPr>
      <w:r>
        <w:rPr>
          <w:rStyle w:val="FootnoteReference"/>
        </w:rPr>
        <w:footnoteRef/>
      </w:r>
      <w:r>
        <w:t xml:space="preserve"> </w:t>
      </w:r>
      <w:hyperlink r:id="rId12" w:history="1">
        <w:r w:rsidRPr="009F7737">
          <w:rPr>
            <w:rStyle w:val="Hyperlink"/>
            <w:sz w:val="20"/>
          </w:rPr>
          <w:t>2024 SAT Annual Report</w:t>
        </w:r>
      </w:hyperlink>
    </w:p>
  </w:footnote>
  <w:footnote w:id="62">
    <w:p w14:paraId="4AA720C3" w14:textId="1C6099C8" w:rsidR="008E412D" w:rsidRDefault="008E412D">
      <w:pPr>
        <w:pStyle w:val="FootnoteText"/>
      </w:pPr>
      <w:r>
        <w:rPr>
          <w:rStyle w:val="FootnoteReference"/>
        </w:rPr>
        <w:footnoteRef/>
      </w:r>
      <w:r>
        <w:t xml:space="preserve"> </w:t>
      </w:r>
      <w:r w:rsidR="0058397D">
        <w:t xml:space="preserve">For further information see: </w:t>
      </w:r>
      <w:hyperlink r:id="rId13" w:history="1">
        <w:r w:rsidRPr="008E412D">
          <w:rPr>
            <w:rStyle w:val="Hyperlink"/>
            <w:sz w:val="20"/>
          </w:rPr>
          <w:t>Commissioner determinations - Consumer Protection - LGIRS</w:t>
        </w:r>
      </w:hyperlink>
    </w:p>
  </w:footnote>
  <w:footnote w:id="63">
    <w:p w14:paraId="4186F393" w14:textId="05B35DD1" w:rsidR="00887F18" w:rsidRDefault="00887F18">
      <w:pPr>
        <w:pStyle w:val="FootnoteText"/>
      </w:pPr>
      <w:r>
        <w:rPr>
          <w:rStyle w:val="FootnoteReference"/>
        </w:rPr>
        <w:footnoteRef/>
      </w:r>
      <w:r>
        <w:t xml:space="preserve"> Section 55(1) of the Act</w:t>
      </w:r>
    </w:p>
  </w:footnote>
  <w:footnote w:id="64">
    <w:p w14:paraId="3F0DBFC9" w14:textId="0414BAF9" w:rsidR="0017774C" w:rsidRDefault="0017774C">
      <w:pPr>
        <w:pStyle w:val="FootnoteText"/>
      </w:pPr>
      <w:r>
        <w:rPr>
          <w:rStyle w:val="FootnoteReference"/>
        </w:rPr>
        <w:footnoteRef/>
      </w:r>
      <w:r>
        <w:t xml:space="preserve"> Section 55(3) and 55(4) of the Act</w:t>
      </w:r>
    </w:p>
  </w:footnote>
  <w:footnote w:id="65">
    <w:p w14:paraId="502AD91D" w14:textId="713B8AD1" w:rsidR="00D808B4" w:rsidRDefault="00D808B4">
      <w:pPr>
        <w:pStyle w:val="FootnoteText"/>
      </w:pPr>
      <w:r>
        <w:rPr>
          <w:rStyle w:val="FootnoteReference"/>
        </w:rPr>
        <w:footnoteRef/>
      </w:r>
      <w:r>
        <w:t xml:space="preserve"> The Form RP2C can be found here: </w:t>
      </w:r>
      <w:hyperlink r:id="rId14" w:history="1">
        <w:r w:rsidRPr="008325E4">
          <w:rPr>
            <w:rStyle w:val="Hyperlink"/>
            <w:sz w:val="20"/>
          </w:rPr>
          <w:t>www.consumerprotection.wa.gov.au/residential-parks-publications</w:t>
        </w:r>
      </w:hyperlink>
      <w:r>
        <w:t xml:space="preserve"> </w:t>
      </w:r>
    </w:p>
  </w:footnote>
  <w:footnote w:id="66">
    <w:p w14:paraId="4462B113" w14:textId="4052E029" w:rsidR="00117502" w:rsidRDefault="00117502">
      <w:pPr>
        <w:pStyle w:val="FootnoteText"/>
      </w:pPr>
      <w:r>
        <w:rPr>
          <w:rStyle w:val="FootnoteReference"/>
        </w:rPr>
        <w:footnoteRef/>
      </w:r>
      <w:r>
        <w:t xml:space="preserve"> Section 58 of the Act</w:t>
      </w:r>
    </w:p>
  </w:footnote>
  <w:footnote w:id="67">
    <w:p w14:paraId="1C8C3FF6" w14:textId="025264E9" w:rsidR="00A13825" w:rsidRDefault="00A13825">
      <w:pPr>
        <w:pStyle w:val="FootnoteText"/>
      </w:pPr>
      <w:r>
        <w:rPr>
          <w:rStyle w:val="FootnoteReference"/>
        </w:rPr>
        <w:footnoteRef/>
      </w:r>
      <w:r>
        <w:t xml:space="preserve"> Section 56 of the Act</w:t>
      </w:r>
    </w:p>
  </w:footnote>
  <w:footnote w:id="68">
    <w:p w14:paraId="04750973" w14:textId="5EDE3ABE" w:rsidR="001F74CA" w:rsidRDefault="001F74CA">
      <w:pPr>
        <w:pStyle w:val="FootnoteText"/>
      </w:pPr>
      <w:r>
        <w:rPr>
          <w:rStyle w:val="FootnoteReference"/>
        </w:rPr>
        <w:footnoteRef/>
      </w:r>
      <w:r>
        <w:t xml:space="preserve"> Section 57 of the Act</w:t>
      </w:r>
    </w:p>
  </w:footnote>
  <w:footnote w:id="69">
    <w:p w14:paraId="41E05710" w14:textId="77777777" w:rsidR="00C95950" w:rsidRDefault="00C95950" w:rsidP="00C95950">
      <w:pPr>
        <w:pStyle w:val="FootnoteText"/>
      </w:pPr>
      <w:r>
        <w:rPr>
          <w:rStyle w:val="FootnoteReference"/>
        </w:rPr>
        <w:footnoteRef/>
      </w:r>
      <w:r>
        <w:t xml:space="preserve"> Section 33(2) of the Act</w:t>
      </w:r>
    </w:p>
  </w:footnote>
  <w:footnote w:id="70">
    <w:p w14:paraId="671165FB" w14:textId="77777777" w:rsidR="00053BA5" w:rsidRDefault="00053BA5" w:rsidP="00053BA5">
      <w:pPr>
        <w:pStyle w:val="FootnoteText"/>
      </w:pPr>
      <w:r>
        <w:rPr>
          <w:rStyle w:val="FootnoteReference"/>
        </w:rPr>
        <w:footnoteRef/>
      </w:r>
      <w:r>
        <w:t xml:space="preserve"> Section 67 of the Act </w:t>
      </w:r>
    </w:p>
  </w:footnote>
  <w:footnote w:id="71">
    <w:p w14:paraId="786826E3" w14:textId="77777777" w:rsidR="00411FD6" w:rsidRDefault="00411FD6" w:rsidP="00411FD6">
      <w:pPr>
        <w:pStyle w:val="FootnoteText"/>
      </w:pPr>
      <w:r>
        <w:rPr>
          <w:rStyle w:val="FootnoteReference"/>
        </w:rPr>
        <w:footnoteRef/>
      </w:r>
      <w:r>
        <w:t xml:space="preserve"> Refer to ‘Termination notices’ at </w:t>
      </w:r>
      <w:hyperlink r:id="rId15" w:history="1">
        <w:r w:rsidRPr="00983F10">
          <w:rPr>
            <w:rStyle w:val="Hyperlink"/>
            <w:sz w:val="20"/>
          </w:rPr>
          <w:t>Residential parks publications - Consumer Protection - LGIRS</w:t>
        </w:r>
      </w:hyperlink>
    </w:p>
  </w:footnote>
  <w:footnote w:id="72">
    <w:p w14:paraId="68D417A2" w14:textId="77777777" w:rsidR="008A43B3" w:rsidRDefault="008A43B3" w:rsidP="008A43B3">
      <w:pPr>
        <w:pStyle w:val="FootnoteText"/>
      </w:pPr>
      <w:r>
        <w:rPr>
          <w:rStyle w:val="FootnoteReference"/>
        </w:rPr>
        <w:footnoteRef/>
      </w:r>
      <w:r>
        <w:t xml:space="preserve"> Section 32R of the Act. Regulation 11A </w:t>
      </w:r>
    </w:p>
  </w:footnote>
  <w:footnote w:id="73">
    <w:p w14:paraId="4EA8DC42" w14:textId="77777777" w:rsidR="00411FD6" w:rsidRDefault="00411FD6" w:rsidP="00411FD6">
      <w:pPr>
        <w:pStyle w:val="FootnoteText"/>
      </w:pPr>
      <w:r>
        <w:rPr>
          <w:rStyle w:val="FootnoteReference"/>
        </w:rPr>
        <w:footnoteRef/>
      </w:r>
      <w:r>
        <w:t xml:space="preserve"> Sections 124-125 of the </w:t>
      </w:r>
      <w:r w:rsidRPr="00D50DD2">
        <w:rPr>
          <w:i/>
          <w:iCs/>
        </w:rPr>
        <w:t>Residential (Land Lease) Communities Act 2013</w:t>
      </w:r>
      <w:r>
        <w:t xml:space="preserve"> (NSW)</w:t>
      </w:r>
    </w:p>
  </w:footnote>
  <w:footnote w:id="74">
    <w:p w14:paraId="3F16AB51" w14:textId="77777777" w:rsidR="00411FD6" w:rsidRDefault="00411FD6" w:rsidP="00411FD6">
      <w:pPr>
        <w:pStyle w:val="FootnoteText"/>
      </w:pPr>
      <w:r>
        <w:rPr>
          <w:rStyle w:val="FootnoteReference"/>
        </w:rPr>
        <w:footnoteRef/>
      </w:r>
      <w:r>
        <w:t xml:space="preserve"> Section 39A of the </w:t>
      </w:r>
      <w:r w:rsidRPr="009D0C8C">
        <w:rPr>
          <w:i/>
          <w:iCs/>
        </w:rPr>
        <w:t>Manufactured Homes (Residential Parks) Act 2003</w:t>
      </w:r>
      <w:r>
        <w:t xml:space="preserve"> (QLD) relating to circumstances where the park is intended to be used for another purpose other than a residential park.</w:t>
      </w:r>
    </w:p>
  </w:footnote>
  <w:footnote w:id="75">
    <w:p w14:paraId="77009BAF" w14:textId="77777777" w:rsidR="008A43B3" w:rsidRDefault="008A43B3" w:rsidP="008A43B3">
      <w:pPr>
        <w:pStyle w:val="FootnoteText"/>
      </w:pPr>
      <w:r>
        <w:rPr>
          <w:rStyle w:val="FootnoteReference"/>
        </w:rPr>
        <w:footnoteRef/>
      </w:r>
      <w:r>
        <w:t xml:space="preserve"> Section 20A of the Act</w:t>
      </w:r>
    </w:p>
  </w:footnote>
  <w:footnote w:id="76">
    <w:p w14:paraId="4744BAA6" w14:textId="77777777" w:rsidR="009C5C69" w:rsidRDefault="009C5C69" w:rsidP="009C5C69">
      <w:pPr>
        <w:pStyle w:val="FootnoteText"/>
      </w:pPr>
      <w:r>
        <w:rPr>
          <w:rStyle w:val="FootnoteReference"/>
        </w:rPr>
        <w:footnoteRef/>
      </w:r>
      <w:r>
        <w:t xml:space="preserve"> Section 41A of the Act</w:t>
      </w:r>
    </w:p>
  </w:footnote>
  <w:footnote w:id="77">
    <w:p w14:paraId="0594F0DC" w14:textId="77777777" w:rsidR="006E7A19" w:rsidRDefault="006E7A19" w:rsidP="006E7A19">
      <w:pPr>
        <w:pStyle w:val="FootnoteText"/>
      </w:pPr>
      <w:r>
        <w:rPr>
          <w:rStyle w:val="FootnoteReference"/>
        </w:rPr>
        <w:footnoteRef/>
      </w:r>
      <w:r>
        <w:t xml:space="preserve"> Section 125(7) and 124(7) of the </w:t>
      </w:r>
      <w:r w:rsidRPr="00D50DD2">
        <w:rPr>
          <w:i/>
          <w:iCs/>
        </w:rPr>
        <w:t>Residential (Land Lease) Communities Act 2013</w:t>
      </w:r>
      <w:r>
        <w:t xml:space="preserve"> (NSW).</w:t>
      </w:r>
    </w:p>
  </w:footnote>
  <w:footnote w:id="78">
    <w:p w14:paraId="130F4D7B" w14:textId="77777777" w:rsidR="00EF7711" w:rsidRDefault="00EF7711" w:rsidP="00EF7711">
      <w:pPr>
        <w:pStyle w:val="FootnoteText"/>
      </w:pPr>
      <w:r>
        <w:rPr>
          <w:rStyle w:val="FootnoteReference"/>
        </w:rPr>
        <w:footnoteRef/>
      </w:r>
      <w:r>
        <w:t xml:space="preserve"> For example, see </w:t>
      </w:r>
      <w:hyperlink r:id="rId16" w:history="1">
        <w:r w:rsidRPr="000159BD">
          <w:rPr>
            <w:rStyle w:val="Hyperlink"/>
            <w:i/>
            <w:iCs/>
            <w:sz w:val="20"/>
          </w:rPr>
          <w:t>Dowling v Lifestyle Management 2 Pty Ltd (Residential Tenancies)</w:t>
        </w:r>
        <w:r w:rsidRPr="00E845C8">
          <w:rPr>
            <w:rStyle w:val="Hyperlink"/>
            <w:sz w:val="20"/>
          </w:rPr>
          <w:t xml:space="preserve"> [2025] VCAT 590</w:t>
        </w:r>
      </w:hyperlink>
    </w:p>
  </w:footnote>
  <w:footnote w:id="79">
    <w:p w14:paraId="116F9569" w14:textId="6DD2A298" w:rsidR="00681FB3" w:rsidRDefault="00681FB3">
      <w:pPr>
        <w:pStyle w:val="FootnoteText"/>
      </w:pPr>
      <w:r>
        <w:rPr>
          <w:rStyle w:val="FootnoteReference"/>
        </w:rPr>
        <w:footnoteRef/>
      </w:r>
      <w:r>
        <w:t xml:space="preserve"> Section 30O of the Act.</w:t>
      </w:r>
    </w:p>
  </w:footnote>
  <w:footnote w:id="80">
    <w:p w14:paraId="125F7523" w14:textId="3D2964C6" w:rsidR="00564D60" w:rsidRDefault="00564D60">
      <w:pPr>
        <w:pStyle w:val="FootnoteText"/>
      </w:pPr>
      <w:r>
        <w:rPr>
          <w:rStyle w:val="FootnoteReference"/>
        </w:rPr>
        <w:footnoteRef/>
      </w:r>
      <w:r>
        <w:t xml:space="preserve"> Section 7</w:t>
      </w:r>
      <w:r w:rsidR="00133749">
        <w:t>3</w:t>
      </w:r>
      <w:r>
        <w:t xml:space="preserve"> of the Act – also provides for termination on the grounds of hardship to the tenant, with compensation payable to the park operator</w:t>
      </w:r>
    </w:p>
  </w:footnote>
  <w:footnote w:id="81">
    <w:p w14:paraId="781F1084" w14:textId="275046D6" w:rsidR="00F975D8" w:rsidRDefault="00F975D8">
      <w:pPr>
        <w:pStyle w:val="FootnoteText"/>
      </w:pPr>
      <w:r>
        <w:rPr>
          <w:rStyle w:val="FootnoteReference"/>
        </w:rPr>
        <w:footnoteRef/>
      </w:r>
      <w:r>
        <w:t xml:space="preserve"> Section</w:t>
      </w:r>
      <w:r w:rsidR="00F72D50">
        <w:t>s 46 and</w:t>
      </w:r>
      <w:r>
        <w:t xml:space="preserve"> </w:t>
      </w:r>
      <w:r w:rsidR="00F72D50">
        <w:t>65 of the Act</w:t>
      </w:r>
    </w:p>
  </w:footnote>
  <w:footnote w:id="82">
    <w:p w14:paraId="675CBF95" w14:textId="6C026F2A" w:rsidR="00B0694D" w:rsidRDefault="00B0694D">
      <w:pPr>
        <w:pStyle w:val="FootnoteText"/>
      </w:pPr>
      <w:r>
        <w:rPr>
          <w:rStyle w:val="FootnoteReference"/>
        </w:rPr>
        <w:footnoteRef/>
      </w:r>
      <w:r>
        <w:t xml:space="preserve"> See </w:t>
      </w:r>
      <w:r w:rsidR="00122E90">
        <w:t xml:space="preserve">section 39C of the </w:t>
      </w:r>
      <w:r w:rsidR="00D30A99" w:rsidRPr="009D0C8C">
        <w:rPr>
          <w:i/>
          <w:iCs/>
        </w:rPr>
        <w:t>Manufactured Homes (Residential Parks) Act 2003</w:t>
      </w:r>
      <w:r w:rsidR="00D30A99">
        <w:t xml:space="preserve"> (</w:t>
      </w:r>
      <w:r w:rsidR="0035575A">
        <w:t>QLD</w:t>
      </w:r>
      <w:r w:rsidR="00D30A99">
        <w:t>)</w:t>
      </w:r>
    </w:p>
  </w:footnote>
  <w:footnote w:id="83">
    <w:p w14:paraId="7AB51EEC" w14:textId="5B0A194C" w:rsidR="00E21129" w:rsidRDefault="00E21129">
      <w:pPr>
        <w:pStyle w:val="FootnoteText"/>
      </w:pPr>
      <w:r>
        <w:rPr>
          <w:rStyle w:val="FootnoteReference"/>
        </w:rPr>
        <w:footnoteRef/>
      </w:r>
      <w:r>
        <w:t xml:space="preserve"> Section 139 of the </w:t>
      </w:r>
      <w:r w:rsidRPr="00D50DD2">
        <w:rPr>
          <w:i/>
          <w:iCs/>
        </w:rPr>
        <w:t>Residential (Land Lease) Communities Act 2013</w:t>
      </w:r>
      <w:r>
        <w:t xml:space="preserve"> (NSW).</w:t>
      </w:r>
    </w:p>
  </w:footnote>
  <w:footnote w:id="84">
    <w:p w14:paraId="53B292D6" w14:textId="2DD11512" w:rsidR="00D66D7A" w:rsidRDefault="00D66D7A">
      <w:pPr>
        <w:pStyle w:val="FootnoteText"/>
      </w:pPr>
      <w:r>
        <w:rPr>
          <w:rStyle w:val="FootnoteReference"/>
        </w:rPr>
        <w:footnoteRef/>
      </w:r>
      <w:r>
        <w:t xml:space="preserve"> Part 11, Division 6 of the </w:t>
      </w:r>
      <w:r w:rsidR="00200D6D" w:rsidRPr="00D50DD2">
        <w:rPr>
          <w:i/>
          <w:iCs/>
        </w:rPr>
        <w:t>Residential (Land Lease) Communities Act 2013</w:t>
      </w:r>
      <w:r w:rsidR="00200D6D">
        <w:t xml:space="preserve"> (NSW).</w:t>
      </w:r>
    </w:p>
  </w:footnote>
  <w:footnote w:id="85">
    <w:p w14:paraId="0DBA27A0" w14:textId="77777777" w:rsidR="00B26BE5" w:rsidRDefault="00B26BE5" w:rsidP="00B26BE5">
      <w:pPr>
        <w:pStyle w:val="FootnoteText"/>
      </w:pPr>
      <w:r>
        <w:rPr>
          <w:rStyle w:val="FootnoteReference"/>
        </w:rPr>
        <w:footnoteRef/>
      </w:r>
      <w:r>
        <w:t xml:space="preserve"> </w:t>
      </w:r>
      <w:hyperlink r:id="rId17" w:history="1">
        <w:r w:rsidRPr="004E43D2">
          <w:rPr>
            <w:rStyle w:val="Hyperlink"/>
            <w:sz w:val="20"/>
          </w:rPr>
          <w:t>Residential land lease communities register - Data.NSW</w:t>
        </w:r>
      </w:hyperlink>
    </w:p>
  </w:footnote>
  <w:footnote w:id="86">
    <w:p w14:paraId="398EEB55" w14:textId="77777777" w:rsidR="00B26BE5" w:rsidRDefault="00B26BE5" w:rsidP="00B26BE5">
      <w:pPr>
        <w:pStyle w:val="FootnoteText"/>
      </w:pPr>
      <w:r>
        <w:rPr>
          <w:rStyle w:val="FootnoteReference"/>
        </w:rPr>
        <w:footnoteRef/>
      </w:r>
      <w:r>
        <w:t xml:space="preserve"> </w:t>
      </w:r>
      <w:hyperlink r:id="rId18" w:history="1">
        <w:r w:rsidRPr="00E13096">
          <w:rPr>
            <w:rStyle w:val="Hyperlink"/>
            <w:sz w:val="20"/>
          </w:rPr>
          <w:t>SA.GOV.AU - Find a residential park</w:t>
        </w:r>
      </w:hyperlink>
    </w:p>
  </w:footnote>
  <w:footnote w:id="87">
    <w:p w14:paraId="3AE6FD49" w14:textId="77777777" w:rsidR="00B26BE5" w:rsidRDefault="00B26BE5" w:rsidP="00B26BE5">
      <w:pPr>
        <w:pStyle w:val="FootnoteText"/>
      </w:pPr>
      <w:r>
        <w:rPr>
          <w:rStyle w:val="FootnoteReference"/>
        </w:rPr>
        <w:footnoteRef/>
      </w:r>
      <w:r>
        <w:t xml:space="preserve"> </w:t>
      </w:r>
      <w:hyperlink r:id="rId19" w:history="1">
        <w:r w:rsidRPr="004E43D2">
          <w:rPr>
            <w:rStyle w:val="Hyperlink"/>
            <w:sz w:val="20"/>
          </w:rPr>
          <w:t>Residential Parks with Manufactured Homes Registered with the Department of Housing and Public Works - Dataset - Open Data Portal | Queensland Government</w:t>
        </w:r>
      </w:hyperlink>
    </w:p>
  </w:footnote>
  <w:footnote w:id="88">
    <w:p w14:paraId="4A8FB874" w14:textId="77777777" w:rsidR="00B26BE5" w:rsidRDefault="00B26BE5" w:rsidP="00B26BE5">
      <w:pPr>
        <w:pStyle w:val="FootnoteText"/>
      </w:pPr>
      <w:r>
        <w:rPr>
          <w:rStyle w:val="FootnoteReference"/>
        </w:rPr>
        <w:footnoteRef/>
      </w:r>
      <w:r>
        <w:t xml:space="preserve"> Consumer Policy Research Centre, </w:t>
      </w:r>
      <w:hyperlink r:id="rId20" w:history="1">
        <w:r w:rsidRPr="00902A0E">
          <w:rPr>
            <w:rStyle w:val="Hyperlink"/>
            <w:sz w:val="20"/>
          </w:rPr>
          <w:t>Life in Residential Parks – Key Insights and Recommendations</w:t>
        </w:r>
      </w:hyperlink>
      <w:r>
        <w:t>, p.9.</w:t>
      </w:r>
    </w:p>
  </w:footnote>
  <w:footnote w:id="89">
    <w:p w14:paraId="06A4194E" w14:textId="77777777" w:rsidR="00B26BE5" w:rsidRDefault="00B26BE5" w:rsidP="00B26BE5">
      <w:pPr>
        <w:pStyle w:val="FootnoteText"/>
      </w:pPr>
      <w:r>
        <w:rPr>
          <w:rStyle w:val="FootnoteReference"/>
        </w:rPr>
        <w:footnoteRef/>
      </w:r>
      <w:r>
        <w:t xml:space="preserve"> Sections 18I and 18J of the </w:t>
      </w:r>
      <w:r w:rsidRPr="009D0C8C">
        <w:rPr>
          <w:i/>
          <w:iCs/>
        </w:rPr>
        <w:t>Manufactured Homes (Residential Parks) Act 2003</w:t>
      </w:r>
      <w:r>
        <w:t xml:space="preserve"> (QLD). This Act regulates residential parks that have manufactured homes that are considered relocatable dwellings and can include converted caravans depending on the circumstances: s.10.</w:t>
      </w:r>
    </w:p>
  </w:footnote>
  <w:footnote w:id="90">
    <w:p w14:paraId="606B6CAC" w14:textId="77777777" w:rsidR="00B26BE5" w:rsidRDefault="00B26BE5" w:rsidP="00B26BE5">
      <w:pPr>
        <w:pStyle w:val="FootnoteText"/>
      </w:pPr>
      <w:r>
        <w:rPr>
          <w:rStyle w:val="FootnoteReference"/>
        </w:rPr>
        <w:footnoteRef/>
      </w:r>
      <w:r>
        <w:t xml:space="preserve"> Section 14 of the </w:t>
      </w:r>
      <w:r w:rsidRPr="007E39FE">
        <w:rPr>
          <w:i/>
          <w:iCs/>
        </w:rPr>
        <w:t>Caravan and Camping Grounds Act 1995</w:t>
      </w:r>
      <w:r>
        <w:t xml:space="preserve"> (WA)</w:t>
      </w:r>
    </w:p>
  </w:footnote>
  <w:footnote w:id="91">
    <w:p w14:paraId="1434EA30" w14:textId="77777777" w:rsidR="00B26BE5" w:rsidRDefault="00B26BE5" w:rsidP="00B26BE5">
      <w:pPr>
        <w:pStyle w:val="FootnoteText"/>
      </w:pPr>
      <w:r>
        <w:rPr>
          <w:rStyle w:val="FootnoteReference"/>
        </w:rPr>
        <w:footnoteRef/>
      </w:r>
      <w:r>
        <w:t xml:space="preserve"> Background on the retirement villages register can be found at </w:t>
      </w:r>
      <w:hyperlink r:id="rId21" w:history="1">
        <w:r w:rsidRPr="00902A0E">
          <w:rPr>
            <w:rStyle w:val="Hyperlink"/>
            <w:sz w:val="20"/>
          </w:rPr>
          <w:t>Consultation Regulatory Impact Statement 3 – Stage Two of proposed reforms to Retirement Villages Legislation in WA</w:t>
        </w:r>
      </w:hyperlink>
      <w:r>
        <w:t>, p. 10.</w:t>
      </w:r>
    </w:p>
  </w:footnote>
  <w:footnote w:id="92">
    <w:p w14:paraId="4D08F5E6" w14:textId="77777777" w:rsidR="00B26BE5" w:rsidRDefault="00B26BE5" w:rsidP="00B26BE5">
      <w:pPr>
        <w:pStyle w:val="FootnoteText"/>
      </w:pPr>
      <w:r>
        <w:rPr>
          <w:rStyle w:val="FootnoteReference"/>
        </w:rPr>
        <w:footnoteRef/>
      </w:r>
      <w:r>
        <w:t xml:space="preserve"> </w:t>
      </w:r>
      <w:hyperlink r:id="rId22" w:history="1">
        <w:r w:rsidRPr="00F75C6B">
          <w:rPr>
            <w:rStyle w:val="Hyperlink"/>
            <w:sz w:val="20"/>
          </w:rPr>
          <w:t>Short-Term Rental Accommodation Register</w:t>
        </w:r>
      </w:hyperlink>
    </w:p>
  </w:footnote>
  <w:footnote w:id="93">
    <w:p w14:paraId="3C2AA6B2" w14:textId="44B6DB2C" w:rsidR="0061583A" w:rsidRDefault="0061583A">
      <w:pPr>
        <w:pStyle w:val="FootnoteText"/>
      </w:pPr>
      <w:r>
        <w:rPr>
          <w:rStyle w:val="FootnoteReference"/>
        </w:rPr>
        <w:footnoteRef/>
      </w:r>
      <w:r>
        <w:t xml:space="preserve"> </w:t>
      </w:r>
      <w:hyperlink r:id="rId23" w:history="1">
        <w:r w:rsidRPr="0061583A">
          <w:rPr>
            <w:rStyle w:val="Hyperlink"/>
            <w:sz w:val="20"/>
          </w:rPr>
          <w:t>Residential Tenancies Act review - Consumer Protection - LGIRS</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77AAA7" w14:textId="725734DE" w:rsidR="00C13A96" w:rsidRPr="00085A49" w:rsidRDefault="0035214B" w:rsidP="00674712">
    <w:pPr>
      <w:pStyle w:val="Header"/>
      <w:tabs>
        <w:tab w:val="left" w:pos="2430"/>
      </w:tabs>
      <w:spacing w:before="100" w:beforeAutospacing="1"/>
      <w:rPr>
        <w:rStyle w:val="Bold"/>
      </w:rPr>
    </w:pPr>
    <w:r w:rsidRPr="00134BF7">
      <w:rPr>
        <w:noProof/>
        <w:color w:val="FFFFFF" w:themeColor="background1"/>
      </w:rPr>
      <w:drawing>
        <wp:anchor distT="0" distB="0" distL="114300" distR="114300" simplePos="0" relativeHeight="251658752" behindDoc="1" locked="0" layoutInCell="1" allowOverlap="1" wp14:anchorId="1513C6D9" wp14:editId="292A4C7D">
          <wp:simplePos x="0" y="0"/>
          <wp:positionH relativeFrom="page">
            <wp:posOffset>9052</wp:posOffset>
          </wp:positionH>
          <wp:positionV relativeFrom="paragraph">
            <wp:posOffset>-349250</wp:posOffset>
          </wp:positionV>
          <wp:extent cx="7526507" cy="754990"/>
          <wp:effectExtent l="0" t="0" r="0" b="7620"/>
          <wp:wrapNone/>
          <wp:docPr id="4537421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658706"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526507" cy="754990"/>
                  </a:xfrm>
                  <a:prstGeom prst="rect">
                    <a:avLst/>
                  </a:prstGeom>
                </pic:spPr>
              </pic:pic>
            </a:graphicData>
          </a:graphic>
          <wp14:sizeRelH relativeFrom="page">
            <wp14:pctWidth>0</wp14:pctWidth>
          </wp14:sizeRelH>
          <wp14:sizeRelV relativeFrom="page">
            <wp14:pctHeight>0</wp14:pctHeight>
          </wp14:sizeRelV>
        </wp:anchor>
      </w:drawing>
    </w:r>
    <w:r w:rsidR="006B7CE7" w:rsidRPr="00526A3E">
      <w:rPr>
        <w:rStyle w:val="Bold"/>
      </w:rPr>
      <w:t xml:space="preserve">Statutory Review of the </w:t>
    </w:r>
    <w:r w:rsidR="006B7CE7" w:rsidRPr="00526A3E">
      <w:rPr>
        <w:rStyle w:val="Bold"/>
        <w:i/>
        <w:iCs/>
      </w:rPr>
      <w:t>Residential Parks (Long-stay Tenants) Act 2006</w:t>
    </w:r>
    <w:r w:rsidRPr="00526A3E">
      <w:rPr>
        <w:rStyle w:val="Bold"/>
      </w:rPr>
      <w:tab/>
    </w:r>
  </w:p>
  <w:p w14:paraId="0BDAA7FB" w14:textId="2533510E" w:rsidR="00C13A96" w:rsidRPr="00455F4B" w:rsidRDefault="00C13A96" w:rsidP="00455F4B">
    <w:pPr>
      <w:pStyle w:val="HeaderLi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8A50F6" w14:textId="13503512" w:rsidR="00C13A96" w:rsidRDefault="0035214B" w:rsidP="00982C9B">
    <w:pPr>
      <w:pStyle w:val="Header"/>
      <w:ind w:hanging="1134"/>
    </w:pPr>
    <w:r>
      <w:rPr>
        <w:noProof/>
      </w:rPr>
      <w:drawing>
        <wp:anchor distT="0" distB="0" distL="114300" distR="114300" simplePos="0" relativeHeight="251656704" behindDoc="1" locked="0" layoutInCell="1" allowOverlap="1" wp14:anchorId="0710BF12" wp14:editId="412702D3">
          <wp:simplePos x="0" y="0"/>
          <wp:positionH relativeFrom="column">
            <wp:posOffset>-720090</wp:posOffset>
          </wp:positionH>
          <wp:positionV relativeFrom="paragraph">
            <wp:posOffset>0</wp:posOffset>
          </wp:positionV>
          <wp:extent cx="7556221" cy="10688397"/>
          <wp:effectExtent l="0" t="0" r="6985" b="0"/>
          <wp:wrapNone/>
          <wp:docPr id="3782131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947190"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56221" cy="10688397"/>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BA3C89" w14:textId="77777777" w:rsidR="00A00D05" w:rsidRPr="00085A49" w:rsidRDefault="00A00D05" w:rsidP="00674712">
    <w:pPr>
      <w:pStyle w:val="Header"/>
      <w:tabs>
        <w:tab w:val="left" w:pos="2430"/>
      </w:tabs>
      <w:spacing w:before="100" w:beforeAutospacing="1"/>
      <w:rPr>
        <w:rStyle w:val="Bold"/>
      </w:rPr>
    </w:pPr>
    <w:r w:rsidRPr="00134BF7">
      <w:rPr>
        <w:noProof/>
        <w:color w:val="FFFFFF" w:themeColor="background1"/>
      </w:rPr>
      <w:drawing>
        <wp:anchor distT="0" distB="0" distL="114300" distR="114300" simplePos="0" relativeHeight="251662848" behindDoc="1" locked="0" layoutInCell="1" allowOverlap="1" wp14:anchorId="55D5C150" wp14:editId="7B49311D">
          <wp:simplePos x="0" y="0"/>
          <wp:positionH relativeFrom="page">
            <wp:align>right</wp:align>
          </wp:positionH>
          <wp:positionV relativeFrom="paragraph">
            <wp:posOffset>-360045</wp:posOffset>
          </wp:positionV>
          <wp:extent cx="7526507" cy="754990"/>
          <wp:effectExtent l="0" t="0" r="0" b="7620"/>
          <wp:wrapNone/>
          <wp:docPr id="17426956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69569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526507" cy="754990"/>
                  </a:xfrm>
                  <a:prstGeom prst="rect">
                    <a:avLst/>
                  </a:prstGeom>
                </pic:spPr>
              </pic:pic>
            </a:graphicData>
          </a:graphic>
          <wp14:sizeRelH relativeFrom="page">
            <wp14:pctWidth>0</wp14:pctWidth>
          </wp14:sizeRelH>
          <wp14:sizeRelV relativeFrom="page">
            <wp14:pctHeight>0</wp14:pctHeight>
          </wp14:sizeRelV>
        </wp:anchor>
      </w:drawing>
    </w:r>
    <w:r w:rsidRPr="006B7CE7">
      <w:rPr>
        <w:rStyle w:val="Bold"/>
        <w:color w:val="FFFFFF" w:themeColor="background1"/>
      </w:rPr>
      <w:t xml:space="preserve"> </w:t>
    </w:r>
    <w:r w:rsidRPr="00526A3E">
      <w:rPr>
        <w:rStyle w:val="Bold"/>
      </w:rPr>
      <w:t xml:space="preserve">Statutory Review of the </w:t>
    </w:r>
    <w:r w:rsidRPr="00526A3E">
      <w:rPr>
        <w:rStyle w:val="Bold"/>
        <w:i/>
        <w:iCs/>
      </w:rPr>
      <w:t>Residential Parks (Long-stay Tenants) Act 2006</w:t>
    </w:r>
    <w:r w:rsidRPr="00526A3E">
      <w:rPr>
        <w:rStyle w:val="Bold"/>
      </w:rPr>
      <w:tab/>
    </w:r>
  </w:p>
  <w:p w14:paraId="32B145F6" w14:textId="77777777" w:rsidR="00A00D05" w:rsidRPr="00455F4B" w:rsidRDefault="00A00D05" w:rsidP="00455F4B">
    <w:pPr>
      <w:pStyle w:val="HeaderLi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23F627" w14:textId="77777777" w:rsidR="00A00D05" w:rsidRPr="00455F4B" w:rsidRDefault="00A00D05" w:rsidP="00455F4B">
    <w:pPr>
      <w:pStyle w:val="HeaderLi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000B1"/>
    <w:multiLevelType w:val="hybridMultilevel"/>
    <w:tmpl w:val="4D5674A0"/>
    <w:lvl w:ilvl="0" w:tplc="0C090001">
      <w:start w:val="1"/>
      <w:numFmt w:val="bullet"/>
      <w:lvlText w:val=""/>
      <w:lvlJc w:val="left"/>
      <w:pPr>
        <w:ind w:left="653" w:hanging="360"/>
      </w:pPr>
      <w:rPr>
        <w:rFonts w:ascii="Symbol" w:hAnsi="Symbol" w:hint="default"/>
      </w:rPr>
    </w:lvl>
    <w:lvl w:ilvl="1" w:tplc="0C090003" w:tentative="1">
      <w:start w:val="1"/>
      <w:numFmt w:val="bullet"/>
      <w:lvlText w:val="o"/>
      <w:lvlJc w:val="left"/>
      <w:pPr>
        <w:ind w:left="1373" w:hanging="360"/>
      </w:pPr>
      <w:rPr>
        <w:rFonts w:ascii="Courier New" w:hAnsi="Courier New" w:cs="Courier New" w:hint="default"/>
      </w:rPr>
    </w:lvl>
    <w:lvl w:ilvl="2" w:tplc="0C090005" w:tentative="1">
      <w:start w:val="1"/>
      <w:numFmt w:val="bullet"/>
      <w:lvlText w:val=""/>
      <w:lvlJc w:val="left"/>
      <w:pPr>
        <w:ind w:left="2093" w:hanging="360"/>
      </w:pPr>
      <w:rPr>
        <w:rFonts w:ascii="Wingdings" w:hAnsi="Wingdings" w:hint="default"/>
      </w:rPr>
    </w:lvl>
    <w:lvl w:ilvl="3" w:tplc="0C090001" w:tentative="1">
      <w:start w:val="1"/>
      <w:numFmt w:val="bullet"/>
      <w:lvlText w:val=""/>
      <w:lvlJc w:val="left"/>
      <w:pPr>
        <w:ind w:left="2813" w:hanging="360"/>
      </w:pPr>
      <w:rPr>
        <w:rFonts w:ascii="Symbol" w:hAnsi="Symbol" w:hint="default"/>
      </w:rPr>
    </w:lvl>
    <w:lvl w:ilvl="4" w:tplc="0C090003" w:tentative="1">
      <w:start w:val="1"/>
      <w:numFmt w:val="bullet"/>
      <w:lvlText w:val="o"/>
      <w:lvlJc w:val="left"/>
      <w:pPr>
        <w:ind w:left="3533" w:hanging="360"/>
      </w:pPr>
      <w:rPr>
        <w:rFonts w:ascii="Courier New" w:hAnsi="Courier New" w:cs="Courier New" w:hint="default"/>
      </w:rPr>
    </w:lvl>
    <w:lvl w:ilvl="5" w:tplc="0C090005" w:tentative="1">
      <w:start w:val="1"/>
      <w:numFmt w:val="bullet"/>
      <w:lvlText w:val=""/>
      <w:lvlJc w:val="left"/>
      <w:pPr>
        <w:ind w:left="4253" w:hanging="360"/>
      </w:pPr>
      <w:rPr>
        <w:rFonts w:ascii="Wingdings" w:hAnsi="Wingdings" w:hint="default"/>
      </w:rPr>
    </w:lvl>
    <w:lvl w:ilvl="6" w:tplc="0C090001" w:tentative="1">
      <w:start w:val="1"/>
      <w:numFmt w:val="bullet"/>
      <w:lvlText w:val=""/>
      <w:lvlJc w:val="left"/>
      <w:pPr>
        <w:ind w:left="4973" w:hanging="360"/>
      </w:pPr>
      <w:rPr>
        <w:rFonts w:ascii="Symbol" w:hAnsi="Symbol" w:hint="default"/>
      </w:rPr>
    </w:lvl>
    <w:lvl w:ilvl="7" w:tplc="0C090003" w:tentative="1">
      <w:start w:val="1"/>
      <w:numFmt w:val="bullet"/>
      <w:lvlText w:val="o"/>
      <w:lvlJc w:val="left"/>
      <w:pPr>
        <w:ind w:left="5693" w:hanging="360"/>
      </w:pPr>
      <w:rPr>
        <w:rFonts w:ascii="Courier New" w:hAnsi="Courier New" w:cs="Courier New" w:hint="default"/>
      </w:rPr>
    </w:lvl>
    <w:lvl w:ilvl="8" w:tplc="0C090005" w:tentative="1">
      <w:start w:val="1"/>
      <w:numFmt w:val="bullet"/>
      <w:lvlText w:val=""/>
      <w:lvlJc w:val="left"/>
      <w:pPr>
        <w:ind w:left="6413" w:hanging="360"/>
      </w:pPr>
      <w:rPr>
        <w:rFonts w:ascii="Wingdings" w:hAnsi="Wingdings" w:hint="default"/>
      </w:rPr>
    </w:lvl>
  </w:abstractNum>
  <w:abstractNum w:abstractNumId="1" w15:restartNumberingAfterBreak="0">
    <w:nsid w:val="03E9438D"/>
    <w:multiLevelType w:val="hybridMultilevel"/>
    <w:tmpl w:val="6D1AE8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6EC3FED"/>
    <w:multiLevelType w:val="hybridMultilevel"/>
    <w:tmpl w:val="6B12E87A"/>
    <w:lvl w:ilvl="0" w:tplc="121046BE">
      <w:start w:val="1"/>
      <w:numFmt w:val="bullet"/>
      <w:pStyle w:val="Bullet1"/>
      <w:lvlText w:val=""/>
      <w:lvlJc w:val="left"/>
      <w:pPr>
        <w:tabs>
          <w:tab w:val="num" w:pos="284"/>
        </w:tabs>
        <w:ind w:left="284" w:hanging="284"/>
      </w:pPr>
      <w:rPr>
        <w:rFonts w:ascii="Symbol" w:hAnsi="Symbol" w:hint="default"/>
        <w:color w:val="auto"/>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B1096E"/>
    <w:multiLevelType w:val="hybridMultilevel"/>
    <w:tmpl w:val="DE5AA42A"/>
    <w:lvl w:ilvl="0" w:tplc="534ACD9E">
      <w:start w:val="1"/>
      <w:numFmt w:val="decimal"/>
      <w:pStyle w:val="ListParagraph"/>
      <w:lvlText w:val="%1."/>
      <w:lvlJc w:val="left"/>
      <w:pPr>
        <w:ind w:left="502" w:hanging="360"/>
      </w:pPr>
      <w:rPr>
        <w:rFonts w:ascii="Arial" w:eastAsia="Arial" w:hAnsi="Arial" w:cs="Times New Roman"/>
        <w:b w:val="0"/>
        <w:bCs/>
        <w:sz w:val="24"/>
        <w:szCs w:val="24"/>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4" w15:restartNumberingAfterBreak="0">
    <w:nsid w:val="26640CC2"/>
    <w:multiLevelType w:val="hybridMultilevel"/>
    <w:tmpl w:val="36F268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5245D63"/>
    <w:multiLevelType w:val="multilevel"/>
    <w:tmpl w:val="A538E6B8"/>
    <w:lvl w:ilvl="0">
      <w:start w:val="1"/>
      <w:numFmt w:val="decimal"/>
      <w:lvlText w:val="%1."/>
      <w:lvlJc w:val="left"/>
      <w:pPr>
        <w:ind w:left="360" w:hanging="360"/>
      </w:pPr>
    </w:lvl>
    <w:lvl w:ilvl="1">
      <w:start w:val="1"/>
      <w:numFmt w:val="decimal"/>
      <w:pStyle w:val="Heading2"/>
      <w:lvlText w:val="%1.%2."/>
      <w:lvlJc w:val="left"/>
      <w:pPr>
        <w:ind w:left="792" w:hanging="432"/>
      </w:pPr>
      <w:rPr>
        <w:i w:val="0"/>
        <w:i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57883D19"/>
    <w:multiLevelType w:val="hybridMultilevel"/>
    <w:tmpl w:val="EDEAEBE4"/>
    <w:lvl w:ilvl="0" w:tplc="C9E6100C">
      <w:start w:val="1"/>
      <w:numFmt w:val="bullet"/>
      <w:pStyle w:val="Bullet2"/>
      <w:lvlText w:val="o"/>
      <w:lvlJc w:val="left"/>
      <w:pPr>
        <w:ind w:left="1211" w:hanging="360"/>
      </w:pPr>
      <w:rPr>
        <w:rFonts w:ascii="Courier New" w:hAnsi="Courier New" w:cs="Courier New" w:hint="default"/>
        <w:b w:val="0"/>
        <w:i w:val="0"/>
        <w:color w:val="auto"/>
        <w:sz w:val="22"/>
      </w:rPr>
    </w:lvl>
    <w:lvl w:ilvl="1" w:tplc="04090003" w:tentative="1">
      <w:start w:val="1"/>
      <w:numFmt w:val="bullet"/>
      <w:lvlText w:val="o"/>
      <w:lvlJc w:val="left"/>
      <w:pPr>
        <w:ind w:left="2234" w:hanging="360"/>
      </w:pPr>
      <w:rPr>
        <w:rFonts w:ascii="Courier New" w:hAnsi="Courier New" w:hint="default"/>
      </w:rPr>
    </w:lvl>
    <w:lvl w:ilvl="2" w:tplc="04090005" w:tentative="1">
      <w:start w:val="1"/>
      <w:numFmt w:val="bullet"/>
      <w:lvlText w:val=""/>
      <w:lvlJc w:val="left"/>
      <w:pPr>
        <w:ind w:left="2954" w:hanging="360"/>
      </w:pPr>
      <w:rPr>
        <w:rFonts w:ascii="Wingdings" w:hAnsi="Wingdings" w:hint="default"/>
      </w:rPr>
    </w:lvl>
    <w:lvl w:ilvl="3" w:tplc="04090001" w:tentative="1">
      <w:start w:val="1"/>
      <w:numFmt w:val="bullet"/>
      <w:lvlText w:val=""/>
      <w:lvlJc w:val="left"/>
      <w:pPr>
        <w:ind w:left="3674" w:hanging="360"/>
      </w:pPr>
      <w:rPr>
        <w:rFonts w:ascii="Symbol" w:hAnsi="Symbol" w:hint="default"/>
      </w:rPr>
    </w:lvl>
    <w:lvl w:ilvl="4" w:tplc="04090003" w:tentative="1">
      <w:start w:val="1"/>
      <w:numFmt w:val="bullet"/>
      <w:lvlText w:val="o"/>
      <w:lvlJc w:val="left"/>
      <w:pPr>
        <w:ind w:left="4394" w:hanging="360"/>
      </w:pPr>
      <w:rPr>
        <w:rFonts w:ascii="Courier New" w:hAnsi="Courier New" w:hint="default"/>
      </w:rPr>
    </w:lvl>
    <w:lvl w:ilvl="5" w:tplc="04090005" w:tentative="1">
      <w:start w:val="1"/>
      <w:numFmt w:val="bullet"/>
      <w:lvlText w:val=""/>
      <w:lvlJc w:val="left"/>
      <w:pPr>
        <w:ind w:left="5114" w:hanging="360"/>
      </w:pPr>
      <w:rPr>
        <w:rFonts w:ascii="Wingdings" w:hAnsi="Wingdings" w:hint="default"/>
      </w:rPr>
    </w:lvl>
    <w:lvl w:ilvl="6" w:tplc="04090001" w:tentative="1">
      <w:start w:val="1"/>
      <w:numFmt w:val="bullet"/>
      <w:lvlText w:val=""/>
      <w:lvlJc w:val="left"/>
      <w:pPr>
        <w:ind w:left="5834" w:hanging="360"/>
      </w:pPr>
      <w:rPr>
        <w:rFonts w:ascii="Symbol" w:hAnsi="Symbol" w:hint="default"/>
      </w:rPr>
    </w:lvl>
    <w:lvl w:ilvl="7" w:tplc="04090003" w:tentative="1">
      <w:start w:val="1"/>
      <w:numFmt w:val="bullet"/>
      <w:lvlText w:val="o"/>
      <w:lvlJc w:val="left"/>
      <w:pPr>
        <w:ind w:left="6554" w:hanging="360"/>
      </w:pPr>
      <w:rPr>
        <w:rFonts w:ascii="Courier New" w:hAnsi="Courier New" w:hint="default"/>
      </w:rPr>
    </w:lvl>
    <w:lvl w:ilvl="8" w:tplc="04090005" w:tentative="1">
      <w:start w:val="1"/>
      <w:numFmt w:val="bullet"/>
      <w:lvlText w:val=""/>
      <w:lvlJc w:val="left"/>
      <w:pPr>
        <w:ind w:left="7274" w:hanging="360"/>
      </w:pPr>
      <w:rPr>
        <w:rFonts w:ascii="Wingdings" w:hAnsi="Wingdings" w:hint="default"/>
      </w:rPr>
    </w:lvl>
  </w:abstractNum>
  <w:abstractNum w:abstractNumId="7" w15:restartNumberingAfterBreak="0">
    <w:nsid w:val="5CB712DE"/>
    <w:multiLevelType w:val="hybridMultilevel"/>
    <w:tmpl w:val="25B059AE"/>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8" w15:restartNumberingAfterBreak="0">
    <w:nsid w:val="63E46474"/>
    <w:multiLevelType w:val="hybridMultilevel"/>
    <w:tmpl w:val="079EB00A"/>
    <w:lvl w:ilvl="0" w:tplc="EAD0AB52">
      <w:start w:val="1"/>
      <w:numFmt w:val="bullet"/>
      <w:pStyle w:val="Bullet3"/>
      <w:lvlText w:val="»"/>
      <w:lvlJc w:val="left"/>
      <w:pPr>
        <w:tabs>
          <w:tab w:val="num" w:pos="850"/>
        </w:tabs>
        <w:ind w:left="850" w:hanging="283"/>
      </w:pPr>
      <w:rPr>
        <w:rFonts w:ascii="Gibson" w:hAnsi="Gibson" w:cs="Times New Roman"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DEA74C2"/>
    <w:multiLevelType w:val="multilevel"/>
    <w:tmpl w:val="AF54DAA4"/>
    <w:styleLink w:val="Style1"/>
    <w:lvl w:ilvl="0">
      <w:start w:val="1"/>
      <w:numFmt w:val="none"/>
      <w:lvlText w:val="1."/>
      <w:lvlJc w:val="left"/>
      <w:pPr>
        <w:ind w:left="644" w:hanging="360"/>
      </w:pPr>
      <w:rPr>
        <w:rFonts w:hint="default"/>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10" w15:restartNumberingAfterBreak="0">
    <w:nsid w:val="6FFD1D0B"/>
    <w:multiLevelType w:val="hybridMultilevel"/>
    <w:tmpl w:val="D6FE81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72F2033B"/>
    <w:multiLevelType w:val="hybridMultilevel"/>
    <w:tmpl w:val="CD943EC0"/>
    <w:lvl w:ilvl="0" w:tplc="0C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770D6D88"/>
    <w:multiLevelType w:val="hybridMultilevel"/>
    <w:tmpl w:val="2E4803E6"/>
    <w:lvl w:ilvl="0" w:tplc="00D2FB08">
      <w:start w:val="1"/>
      <w:numFmt w:val="decimal"/>
      <w:lvlText w:val="%1."/>
      <w:lvlJc w:val="left"/>
      <w:pPr>
        <w:ind w:left="720" w:hanging="360"/>
      </w:pPr>
      <w:rPr>
        <w:rFonts w:hint="default"/>
        <w:i w:val="0"/>
        <w:i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7F6A5DBF"/>
    <w:multiLevelType w:val="hybridMultilevel"/>
    <w:tmpl w:val="8016506C"/>
    <w:lvl w:ilvl="0" w:tplc="D80E2C26">
      <w:start w:val="1"/>
      <w:numFmt w:val="decimal"/>
      <w:pStyle w:val="ListNumber"/>
      <w:lvlText w:val="%1."/>
      <w:lvlJc w:val="left"/>
      <w:pPr>
        <w:ind w:left="786" w:hanging="360"/>
      </w:p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num w:numId="1" w16cid:durableId="38479788">
    <w:abstractNumId w:val="2"/>
  </w:num>
  <w:num w:numId="2" w16cid:durableId="598100625">
    <w:abstractNumId w:val="6"/>
  </w:num>
  <w:num w:numId="3" w16cid:durableId="678701308">
    <w:abstractNumId w:val="8"/>
  </w:num>
  <w:num w:numId="4" w16cid:durableId="150483074">
    <w:abstractNumId w:val="13"/>
  </w:num>
  <w:num w:numId="5" w16cid:durableId="320699263">
    <w:abstractNumId w:val="9"/>
  </w:num>
  <w:num w:numId="6" w16cid:durableId="1345206929">
    <w:abstractNumId w:val="0"/>
  </w:num>
  <w:num w:numId="7" w16cid:durableId="739064121">
    <w:abstractNumId w:val="11"/>
  </w:num>
  <w:num w:numId="8" w16cid:durableId="1761176375">
    <w:abstractNumId w:val="10"/>
  </w:num>
  <w:num w:numId="9" w16cid:durableId="1178080620">
    <w:abstractNumId w:val="3"/>
  </w:num>
  <w:num w:numId="10" w16cid:durableId="538398020">
    <w:abstractNumId w:val="7"/>
  </w:num>
  <w:num w:numId="11" w16cid:durableId="1200632222">
    <w:abstractNumId w:val="5"/>
  </w:num>
  <w:num w:numId="12" w16cid:durableId="65079100">
    <w:abstractNumId w:val="3"/>
    <w:lvlOverride w:ilvl="0">
      <w:startOverride w:val="1"/>
    </w:lvlOverride>
  </w:num>
  <w:num w:numId="13" w16cid:durableId="2016955398">
    <w:abstractNumId w:val="12"/>
  </w:num>
  <w:num w:numId="14" w16cid:durableId="92869803">
    <w:abstractNumId w:val="3"/>
  </w:num>
  <w:num w:numId="15" w16cid:durableId="321197215">
    <w:abstractNumId w:val="3"/>
  </w:num>
  <w:num w:numId="16" w16cid:durableId="506212705">
    <w:abstractNumId w:val="3"/>
  </w:num>
  <w:num w:numId="17" w16cid:durableId="657850629">
    <w:abstractNumId w:val="3"/>
  </w:num>
  <w:num w:numId="18" w16cid:durableId="2091466138">
    <w:abstractNumId w:val="3"/>
  </w:num>
  <w:num w:numId="19" w16cid:durableId="1957520168">
    <w:abstractNumId w:val="3"/>
  </w:num>
  <w:num w:numId="20" w16cid:durableId="1141534053">
    <w:abstractNumId w:val="3"/>
  </w:num>
  <w:num w:numId="21" w16cid:durableId="546995152">
    <w:abstractNumId w:val="3"/>
  </w:num>
  <w:num w:numId="22" w16cid:durableId="972059067">
    <w:abstractNumId w:val="3"/>
  </w:num>
  <w:num w:numId="23" w16cid:durableId="1154368873">
    <w:abstractNumId w:val="3"/>
  </w:num>
  <w:num w:numId="24" w16cid:durableId="1210410817">
    <w:abstractNumId w:val="1"/>
  </w:num>
  <w:num w:numId="25" w16cid:durableId="1020427353">
    <w:abstractNumId w:val="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SystemFont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mailMerge>
    <w:mainDocumentType w:val="formLetters"/>
    <w:dataType w:val="textFile"/>
    <w:activeRecord w:val="-1"/>
    <w:odso/>
  </w:mailMerge>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1D6C"/>
    <w:rsid w:val="00000AA9"/>
    <w:rsid w:val="0000121B"/>
    <w:rsid w:val="000012C3"/>
    <w:rsid w:val="00003405"/>
    <w:rsid w:val="0000371E"/>
    <w:rsid w:val="00003797"/>
    <w:rsid w:val="000041FD"/>
    <w:rsid w:val="000044A2"/>
    <w:rsid w:val="00004592"/>
    <w:rsid w:val="00004A89"/>
    <w:rsid w:val="00005A17"/>
    <w:rsid w:val="00007B71"/>
    <w:rsid w:val="00007FC0"/>
    <w:rsid w:val="00010570"/>
    <w:rsid w:val="00010674"/>
    <w:rsid w:val="00011370"/>
    <w:rsid w:val="00011881"/>
    <w:rsid w:val="0001518D"/>
    <w:rsid w:val="00015B27"/>
    <w:rsid w:val="00017148"/>
    <w:rsid w:val="000214AD"/>
    <w:rsid w:val="00021701"/>
    <w:rsid w:val="0002279B"/>
    <w:rsid w:val="00022D02"/>
    <w:rsid w:val="00022EA2"/>
    <w:rsid w:val="000247BA"/>
    <w:rsid w:val="00025F3F"/>
    <w:rsid w:val="00026289"/>
    <w:rsid w:val="000314B2"/>
    <w:rsid w:val="00031DAB"/>
    <w:rsid w:val="0003354B"/>
    <w:rsid w:val="000338B3"/>
    <w:rsid w:val="00034CE5"/>
    <w:rsid w:val="00035AF3"/>
    <w:rsid w:val="000361C2"/>
    <w:rsid w:val="00036579"/>
    <w:rsid w:val="000379E4"/>
    <w:rsid w:val="00043292"/>
    <w:rsid w:val="00043941"/>
    <w:rsid w:val="00043BE5"/>
    <w:rsid w:val="000449BD"/>
    <w:rsid w:val="0004502E"/>
    <w:rsid w:val="000457DC"/>
    <w:rsid w:val="00046ACF"/>
    <w:rsid w:val="00047DD6"/>
    <w:rsid w:val="000503AB"/>
    <w:rsid w:val="000507B6"/>
    <w:rsid w:val="000524C5"/>
    <w:rsid w:val="000528C1"/>
    <w:rsid w:val="0005343C"/>
    <w:rsid w:val="00053BA5"/>
    <w:rsid w:val="00054612"/>
    <w:rsid w:val="00056414"/>
    <w:rsid w:val="0005696C"/>
    <w:rsid w:val="00060051"/>
    <w:rsid w:val="00060292"/>
    <w:rsid w:val="00060676"/>
    <w:rsid w:val="0006096B"/>
    <w:rsid w:val="0006273C"/>
    <w:rsid w:val="00063F98"/>
    <w:rsid w:val="0006427C"/>
    <w:rsid w:val="00064337"/>
    <w:rsid w:val="0006459B"/>
    <w:rsid w:val="00065542"/>
    <w:rsid w:val="00066CCF"/>
    <w:rsid w:val="00067C65"/>
    <w:rsid w:val="0007130E"/>
    <w:rsid w:val="00071834"/>
    <w:rsid w:val="000739D7"/>
    <w:rsid w:val="00075D15"/>
    <w:rsid w:val="00075F81"/>
    <w:rsid w:val="00076DE4"/>
    <w:rsid w:val="000773A8"/>
    <w:rsid w:val="000820A6"/>
    <w:rsid w:val="00082601"/>
    <w:rsid w:val="00082AAF"/>
    <w:rsid w:val="00083942"/>
    <w:rsid w:val="00084B43"/>
    <w:rsid w:val="0008523A"/>
    <w:rsid w:val="000854A6"/>
    <w:rsid w:val="00085A49"/>
    <w:rsid w:val="0009031B"/>
    <w:rsid w:val="00090A33"/>
    <w:rsid w:val="00090E46"/>
    <w:rsid w:val="00090EFC"/>
    <w:rsid w:val="0009125B"/>
    <w:rsid w:val="000918EF"/>
    <w:rsid w:val="000929D2"/>
    <w:rsid w:val="00092CAE"/>
    <w:rsid w:val="00094676"/>
    <w:rsid w:val="0009488D"/>
    <w:rsid w:val="00095015"/>
    <w:rsid w:val="00095C36"/>
    <w:rsid w:val="000971A2"/>
    <w:rsid w:val="000A07C9"/>
    <w:rsid w:val="000A0860"/>
    <w:rsid w:val="000A18E9"/>
    <w:rsid w:val="000A1C78"/>
    <w:rsid w:val="000A2AE6"/>
    <w:rsid w:val="000A5304"/>
    <w:rsid w:val="000A53D1"/>
    <w:rsid w:val="000A6A43"/>
    <w:rsid w:val="000A7ADB"/>
    <w:rsid w:val="000A7E0B"/>
    <w:rsid w:val="000B16AB"/>
    <w:rsid w:val="000B1741"/>
    <w:rsid w:val="000B3622"/>
    <w:rsid w:val="000B3BDE"/>
    <w:rsid w:val="000B59EE"/>
    <w:rsid w:val="000B60F4"/>
    <w:rsid w:val="000B7228"/>
    <w:rsid w:val="000B7F79"/>
    <w:rsid w:val="000C05B7"/>
    <w:rsid w:val="000C0B69"/>
    <w:rsid w:val="000C3326"/>
    <w:rsid w:val="000C3DAD"/>
    <w:rsid w:val="000C4243"/>
    <w:rsid w:val="000C45FC"/>
    <w:rsid w:val="000C4A1D"/>
    <w:rsid w:val="000C56C0"/>
    <w:rsid w:val="000C583B"/>
    <w:rsid w:val="000C5EF0"/>
    <w:rsid w:val="000C64FF"/>
    <w:rsid w:val="000D0759"/>
    <w:rsid w:val="000D21E8"/>
    <w:rsid w:val="000D2E0A"/>
    <w:rsid w:val="000D3E8C"/>
    <w:rsid w:val="000D5CCB"/>
    <w:rsid w:val="000D61B5"/>
    <w:rsid w:val="000E093A"/>
    <w:rsid w:val="000E0DD0"/>
    <w:rsid w:val="000E2D35"/>
    <w:rsid w:val="000E3159"/>
    <w:rsid w:val="000E390E"/>
    <w:rsid w:val="000E3B7F"/>
    <w:rsid w:val="000E43EB"/>
    <w:rsid w:val="000F01AD"/>
    <w:rsid w:val="000F19D7"/>
    <w:rsid w:val="000F326C"/>
    <w:rsid w:val="000F4058"/>
    <w:rsid w:val="000F41ED"/>
    <w:rsid w:val="000F4C61"/>
    <w:rsid w:val="000F591A"/>
    <w:rsid w:val="000F6577"/>
    <w:rsid w:val="000F6C10"/>
    <w:rsid w:val="000F77DF"/>
    <w:rsid w:val="000F7E40"/>
    <w:rsid w:val="00100920"/>
    <w:rsid w:val="001014C9"/>
    <w:rsid w:val="00102333"/>
    <w:rsid w:val="00102521"/>
    <w:rsid w:val="00103372"/>
    <w:rsid w:val="00104427"/>
    <w:rsid w:val="0010445F"/>
    <w:rsid w:val="0010689E"/>
    <w:rsid w:val="00110DA6"/>
    <w:rsid w:val="00111223"/>
    <w:rsid w:val="00111D6C"/>
    <w:rsid w:val="00111E6E"/>
    <w:rsid w:val="00112900"/>
    <w:rsid w:val="00112C5A"/>
    <w:rsid w:val="00112E91"/>
    <w:rsid w:val="00114A71"/>
    <w:rsid w:val="001166A7"/>
    <w:rsid w:val="00116BBF"/>
    <w:rsid w:val="00117093"/>
    <w:rsid w:val="00117502"/>
    <w:rsid w:val="0011751E"/>
    <w:rsid w:val="00117A33"/>
    <w:rsid w:val="00117D59"/>
    <w:rsid w:val="00120647"/>
    <w:rsid w:val="001214C8"/>
    <w:rsid w:val="00121CE3"/>
    <w:rsid w:val="001221FC"/>
    <w:rsid w:val="00122E90"/>
    <w:rsid w:val="00123136"/>
    <w:rsid w:val="00123A34"/>
    <w:rsid w:val="00123E91"/>
    <w:rsid w:val="00127199"/>
    <w:rsid w:val="00130FE2"/>
    <w:rsid w:val="00131AF2"/>
    <w:rsid w:val="00131D75"/>
    <w:rsid w:val="0013349A"/>
    <w:rsid w:val="00133749"/>
    <w:rsid w:val="00134B77"/>
    <w:rsid w:val="00134BF7"/>
    <w:rsid w:val="00135A12"/>
    <w:rsid w:val="001360EF"/>
    <w:rsid w:val="00136D9A"/>
    <w:rsid w:val="00137184"/>
    <w:rsid w:val="001401AF"/>
    <w:rsid w:val="00140C0C"/>
    <w:rsid w:val="0014106C"/>
    <w:rsid w:val="001415D7"/>
    <w:rsid w:val="00142124"/>
    <w:rsid w:val="00144C2C"/>
    <w:rsid w:val="00144E7B"/>
    <w:rsid w:val="00145E37"/>
    <w:rsid w:val="0014677C"/>
    <w:rsid w:val="00146EB3"/>
    <w:rsid w:val="001472FD"/>
    <w:rsid w:val="00147A1D"/>
    <w:rsid w:val="00150705"/>
    <w:rsid w:val="0015261A"/>
    <w:rsid w:val="0015280D"/>
    <w:rsid w:val="001568AD"/>
    <w:rsid w:val="0015774F"/>
    <w:rsid w:val="0016205C"/>
    <w:rsid w:val="001625F7"/>
    <w:rsid w:val="00162FD6"/>
    <w:rsid w:val="001644FE"/>
    <w:rsid w:val="001654F0"/>
    <w:rsid w:val="00166637"/>
    <w:rsid w:val="00166DDB"/>
    <w:rsid w:val="00167608"/>
    <w:rsid w:val="00170AFD"/>
    <w:rsid w:val="00170CC9"/>
    <w:rsid w:val="00171753"/>
    <w:rsid w:val="00171E2F"/>
    <w:rsid w:val="001722E1"/>
    <w:rsid w:val="001726EE"/>
    <w:rsid w:val="001728AA"/>
    <w:rsid w:val="0017611A"/>
    <w:rsid w:val="00176834"/>
    <w:rsid w:val="0017743E"/>
    <w:rsid w:val="0017774C"/>
    <w:rsid w:val="00177FE7"/>
    <w:rsid w:val="00180119"/>
    <w:rsid w:val="00182E8A"/>
    <w:rsid w:val="00183B86"/>
    <w:rsid w:val="0018446F"/>
    <w:rsid w:val="00190E20"/>
    <w:rsid w:val="00190FA5"/>
    <w:rsid w:val="00192641"/>
    <w:rsid w:val="0019309F"/>
    <w:rsid w:val="00193EAE"/>
    <w:rsid w:val="001944DC"/>
    <w:rsid w:val="00195572"/>
    <w:rsid w:val="001960B8"/>
    <w:rsid w:val="001960EE"/>
    <w:rsid w:val="00196DFE"/>
    <w:rsid w:val="001A16B7"/>
    <w:rsid w:val="001A2421"/>
    <w:rsid w:val="001A24F2"/>
    <w:rsid w:val="001A26B1"/>
    <w:rsid w:val="001A2976"/>
    <w:rsid w:val="001A29C5"/>
    <w:rsid w:val="001A3B37"/>
    <w:rsid w:val="001A4905"/>
    <w:rsid w:val="001A5FFE"/>
    <w:rsid w:val="001A71DF"/>
    <w:rsid w:val="001A7DB7"/>
    <w:rsid w:val="001A7E88"/>
    <w:rsid w:val="001B078F"/>
    <w:rsid w:val="001B35A3"/>
    <w:rsid w:val="001B4C4E"/>
    <w:rsid w:val="001B4CF9"/>
    <w:rsid w:val="001B74FA"/>
    <w:rsid w:val="001B7591"/>
    <w:rsid w:val="001C078F"/>
    <w:rsid w:val="001C42A3"/>
    <w:rsid w:val="001C452F"/>
    <w:rsid w:val="001C6EE9"/>
    <w:rsid w:val="001C73F4"/>
    <w:rsid w:val="001D0115"/>
    <w:rsid w:val="001D1B4F"/>
    <w:rsid w:val="001D39B1"/>
    <w:rsid w:val="001D4137"/>
    <w:rsid w:val="001E0285"/>
    <w:rsid w:val="001E0EF3"/>
    <w:rsid w:val="001E1616"/>
    <w:rsid w:val="001E2D49"/>
    <w:rsid w:val="001E48CB"/>
    <w:rsid w:val="001E7B44"/>
    <w:rsid w:val="001E7BE4"/>
    <w:rsid w:val="001F0E6E"/>
    <w:rsid w:val="001F210F"/>
    <w:rsid w:val="001F4B90"/>
    <w:rsid w:val="001F5020"/>
    <w:rsid w:val="001F635F"/>
    <w:rsid w:val="001F6934"/>
    <w:rsid w:val="001F74CA"/>
    <w:rsid w:val="001F7637"/>
    <w:rsid w:val="00200D6D"/>
    <w:rsid w:val="00203D0E"/>
    <w:rsid w:val="0020481B"/>
    <w:rsid w:val="00204AFB"/>
    <w:rsid w:val="00205F3A"/>
    <w:rsid w:val="00205FE3"/>
    <w:rsid w:val="00207A0A"/>
    <w:rsid w:val="0021269E"/>
    <w:rsid w:val="0021280C"/>
    <w:rsid w:val="00214254"/>
    <w:rsid w:val="002145A3"/>
    <w:rsid w:val="00215918"/>
    <w:rsid w:val="00215C31"/>
    <w:rsid w:val="00216A57"/>
    <w:rsid w:val="00216BCF"/>
    <w:rsid w:val="00217344"/>
    <w:rsid w:val="002173D4"/>
    <w:rsid w:val="00220FD2"/>
    <w:rsid w:val="002218E9"/>
    <w:rsid w:val="00225398"/>
    <w:rsid w:val="00225D09"/>
    <w:rsid w:val="00225D4F"/>
    <w:rsid w:val="00225F04"/>
    <w:rsid w:val="00226BBF"/>
    <w:rsid w:val="00230B16"/>
    <w:rsid w:val="002312BD"/>
    <w:rsid w:val="00231A11"/>
    <w:rsid w:val="00232F70"/>
    <w:rsid w:val="00234A94"/>
    <w:rsid w:val="002350B4"/>
    <w:rsid w:val="002352C4"/>
    <w:rsid w:val="0023542B"/>
    <w:rsid w:val="00235B27"/>
    <w:rsid w:val="00235FFE"/>
    <w:rsid w:val="00236858"/>
    <w:rsid w:val="00237602"/>
    <w:rsid w:val="00240916"/>
    <w:rsid w:val="00240EE5"/>
    <w:rsid w:val="002414DB"/>
    <w:rsid w:val="002420AC"/>
    <w:rsid w:val="002426F7"/>
    <w:rsid w:val="00243A5C"/>
    <w:rsid w:val="002455F2"/>
    <w:rsid w:val="002469E8"/>
    <w:rsid w:val="002474E7"/>
    <w:rsid w:val="00251DAD"/>
    <w:rsid w:val="00252A1C"/>
    <w:rsid w:val="00253FC4"/>
    <w:rsid w:val="002554E6"/>
    <w:rsid w:val="00255880"/>
    <w:rsid w:val="00256F57"/>
    <w:rsid w:val="0025755F"/>
    <w:rsid w:val="0026014E"/>
    <w:rsid w:val="00261049"/>
    <w:rsid w:val="00265737"/>
    <w:rsid w:val="00266453"/>
    <w:rsid w:val="00267633"/>
    <w:rsid w:val="002705A9"/>
    <w:rsid w:val="00272F1A"/>
    <w:rsid w:val="00273975"/>
    <w:rsid w:val="0027419D"/>
    <w:rsid w:val="00274526"/>
    <w:rsid w:val="00275861"/>
    <w:rsid w:val="00275B20"/>
    <w:rsid w:val="00276A09"/>
    <w:rsid w:val="00276DC9"/>
    <w:rsid w:val="00277361"/>
    <w:rsid w:val="00280D8D"/>
    <w:rsid w:val="002812EA"/>
    <w:rsid w:val="00281683"/>
    <w:rsid w:val="00282087"/>
    <w:rsid w:val="00282692"/>
    <w:rsid w:val="002837E6"/>
    <w:rsid w:val="00285009"/>
    <w:rsid w:val="00286FE4"/>
    <w:rsid w:val="0028760F"/>
    <w:rsid w:val="002879E8"/>
    <w:rsid w:val="00287C61"/>
    <w:rsid w:val="00291B19"/>
    <w:rsid w:val="00296C17"/>
    <w:rsid w:val="00296F75"/>
    <w:rsid w:val="002A0C1B"/>
    <w:rsid w:val="002A0CAE"/>
    <w:rsid w:val="002A32DC"/>
    <w:rsid w:val="002A47BE"/>
    <w:rsid w:val="002A51F0"/>
    <w:rsid w:val="002B03E5"/>
    <w:rsid w:val="002B1DC0"/>
    <w:rsid w:val="002B2CCC"/>
    <w:rsid w:val="002B3495"/>
    <w:rsid w:val="002B390A"/>
    <w:rsid w:val="002B4257"/>
    <w:rsid w:val="002B5222"/>
    <w:rsid w:val="002B5B11"/>
    <w:rsid w:val="002B7911"/>
    <w:rsid w:val="002C086B"/>
    <w:rsid w:val="002C1045"/>
    <w:rsid w:val="002C62F4"/>
    <w:rsid w:val="002C6CB1"/>
    <w:rsid w:val="002C7297"/>
    <w:rsid w:val="002D012F"/>
    <w:rsid w:val="002D01EB"/>
    <w:rsid w:val="002D029F"/>
    <w:rsid w:val="002D158B"/>
    <w:rsid w:val="002D261A"/>
    <w:rsid w:val="002D460A"/>
    <w:rsid w:val="002D4D2B"/>
    <w:rsid w:val="002D4FA2"/>
    <w:rsid w:val="002D50F7"/>
    <w:rsid w:val="002D580C"/>
    <w:rsid w:val="002D6CF4"/>
    <w:rsid w:val="002D7297"/>
    <w:rsid w:val="002D7AF3"/>
    <w:rsid w:val="002D7B1D"/>
    <w:rsid w:val="002D7EE2"/>
    <w:rsid w:val="002E1E15"/>
    <w:rsid w:val="002E2C1E"/>
    <w:rsid w:val="002E418F"/>
    <w:rsid w:val="002E562D"/>
    <w:rsid w:val="002E57A8"/>
    <w:rsid w:val="002E5993"/>
    <w:rsid w:val="002E6405"/>
    <w:rsid w:val="002E66A3"/>
    <w:rsid w:val="002F00CE"/>
    <w:rsid w:val="002F014B"/>
    <w:rsid w:val="002F06C0"/>
    <w:rsid w:val="002F18D9"/>
    <w:rsid w:val="002F2477"/>
    <w:rsid w:val="002F25AC"/>
    <w:rsid w:val="002F3264"/>
    <w:rsid w:val="002F57F1"/>
    <w:rsid w:val="002F65CA"/>
    <w:rsid w:val="002F7965"/>
    <w:rsid w:val="002F7CAA"/>
    <w:rsid w:val="0030077B"/>
    <w:rsid w:val="003023A2"/>
    <w:rsid w:val="003033A1"/>
    <w:rsid w:val="003064C4"/>
    <w:rsid w:val="00306AFD"/>
    <w:rsid w:val="00310285"/>
    <w:rsid w:val="003103C2"/>
    <w:rsid w:val="00313F25"/>
    <w:rsid w:val="00314783"/>
    <w:rsid w:val="00314A45"/>
    <w:rsid w:val="003157D9"/>
    <w:rsid w:val="00316B6B"/>
    <w:rsid w:val="00316C04"/>
    <w:rsid w:val="003201BE"/>
    <w:rsid w:val="003212A4"/>
    <w:rsid w:val="0032229E"/>
    <w:rsid w:val="00322BE9"/>
    <w:rsid w:val="003238A7"/>
    <w:rsid w:val="00323F74"/>
    <w:rsid w:val="00324C30"/>
    <w:rsid w:val="00324E4B"/>
    <w:rsid w:val="00326DBA"/>
    <w:rsid w:val="00332300"/>
    <w:rsid w:val="003341B5"/>
    <w:rsid w:val="00335A59"/>
    <w:rsid w:val="00337B89"/>
    <w:rsid w:val="00340EF8"/>
    <w:rsid w:val="00341AC8"/>
    <w:rsid w:val="00342A9B"/>
    <w:rsid w:val="00343B12"/>
    <w:rsid w:val="00344D56"/>
    <w:rsid w:val="00345C7B"/>
    <w:rsid w:val="0034721F"/>
    <w:rsid w:val="00347C0F"/>
    <w:rsid w:val="00347CBA"/>
    <w:rsid w:val="0035075A"/>
    <w:rsid w:val="00350DA2"/>
    <w:rsid w:val="00351490"/>
    <w:rsid w:val="003518F1"/>
    <w:rsid w:val="00351ADA"/>
    <w:rsid w:val="0035214B"/>
    <w:rsid w:val="00353B45"/>
    <w:rsid w:val="00353DC2"/>
    <w:rsid w:val="00353F0B"/>
    <w:rsid w:val="0035575A"/>
    <w:rsid w:val="00356B6D"/>
    <w:rsid w:val="00357DE3"/>
    <w:rsid w:val="0036169F"/>
    <w:rsid w:val="003618EA"/>
    <w:rsid w:val="003639AC"/>
    <w:rsid w:val="00364677"/>
    <w:rsid w:val="0036509A"/>
    <w:rsid w:val="003664E8"/>
    <w:rsid w:val="00366FEA"/>
    <w:rsid w:val="00367FD9"/>
    <w:rsid w:val="003706E5"/>
    <w:rsid w:val="00370BA6"/>
    <w:rsid w:val="0037143B"/>
    <w:rsid w:val="0037199D"/>
    <w:rsid w:val="0037301D"/>
    <w:rsid w:val="00373606"/>
    <w:rsid w:val="003737D3"/>
    <w:rsid w:val="00374277"/>
    <w:rsid w:val="00374E81"/>
    <w:rsid w:val="00376071"/>
    <w:rsid w:val="00377423"/>
    <w:rsid w:val="003775E4"/>
    <w:rsid w:val="0037778B"/>
    <w:rsid w:val="00380AEF"/>
    <w:rsid w:val="00381264"/>
    <w:rsid w:val="00381639"/>
    <w:rsid w:val="00381DB3"/>
    <w:rsid w:val="003838AE"/>
    <w:rsid w:val="00383CAD"/>
    <w:rsid w:val="0038466F"/>
    <w:rsid w:val="003846A4"/>
    <w:rsid w:val="00385C05"/>
    <w:rsid w:val="00386568"/>
    <w:rsid w:val="00395A21"/>
    <w:rsid w:val="003972B6"/>
    <w:rsid w:val="00397EAF"/>
    <w:rsid w:val="003A1793"/>
    <w:rsid w:val="003A217D"/>
    <w:rsid w:val="003A24E1"/>
    <w:rsid w:val="003A2F58"/>
    <w:rsid w:val="003A486E"/>
    <w:rsid w:val="003A4D67"/>
    <w:rsid w:val="003A5050"/>
    <w:rsid w:val="003A6700"/>
    <w:rsid w:val="003A77CE"/>
    <w:rsid w:val="003B0F17"/>
    <w:rsid w:val="003B187B"/>
    <w:rsid w:val="003B25F2"/>
    <w:rsid w:val="003B32B9"/>
    <w:rsid w:val="003B3D56"/>
    <w:rsid w:val="003B4A5B"/>
    <w:rsid w:val="003B5294"/>
    <w:rsid w:val="003B641B"/>
    <w:rsid w:val="003B64B6"/>
    <w:rsid w:val="003B7A76"/>
    <w:rsid w:val="003B7C18"/>
    <w:rsid w:val="003C0767"/>
    <w:rsid w:val="003C11C5"/>
    <w:rsid w:val="003C219A"/>
    <w:rsid w:val="003C4431"/>
    <w:rsid w:val="003C5837"/>
    <w:rsid w:val="003C692D"/>
    <w:rsid w:val="003C7B4E"/>
    <w:rsid w:val="003D1AE2"/>
    <w:rsid w:val="003D2615"/>
    <w:rsid w:val="003D4ABB"/>
    <w:rsid w:val="003D5381"/>
    <w:rsid w:val="003D5FCA"/>
    <w:rsid w:val="003D6F7D"/>
    <w:rsid w:val="003D71AE"/>
    <w:rsid w:val="003D7C1D"/>
    <w:rsid w:val="003E04DC"/>
    <w:rsid w:val="003E151A"/>
    <w:rsid w:val="003E43D9"/>
    <w:rsid w:val="003E44DF"/>
    <w:rsid w:val="003E4FC0"/>
    <w:rsid w:val="003E548F"/>
    <w:rsid w:val="003E631A"/>
    <w:rsid w:val="003F02F2"/>
    <w:rsid w:val="003F1526"/>
    <w:rsid w:val="003F161F"/>
    <w:rsid w:val="003F2301"/>
    <w:rsid w:val="003F3CB0"/>
    <w:rsid w:val="003F3D65"/>
    <w:rsid w:val="003F4103"/>
    <w:rsid w:val="003F4C4D"/>
    <w:rsid w:val="003F7731"/>
    <w:rsid w:val="00401D09"/>
    <w:rsid w:val="004045EA"/>
    <w:rsid w:val="00404CAA"/>
    <w:rsid w:val="004055F0"/>
    <w:rsid w:val="0040634C"/>
    <w:rsid w:val="004075FA"/>
    <w:rsid w:val="0041092E"/>
    <w:rsid w:val="00410A26"/>
    <w:rsid w:val="0041173F"/>
    <w:rsid w:val="0041179D"/>
    <w:rsid w:val="004119B9"/>
    <w:rsid w:val="00411FD6"/>
    <w:rsid w:val="0041430C"/>
    <w:rsid w:val="0041602B"/>
    <w:rsid w:val="00416CC3"/>
    <w:rsid w:val="00416E26"/>
    <w:rsid w:val="00417A23"/>
    <w:rsid w:val="00424693"/>
    <w:rsid w:val="004255F7"/>
    <w:rsid w:val="00426EA6"/>
    <w:rsid w:val="00430359"/>
    <w:rsid w:val="00430949"/>
    <w:rsid w:val="0043286D"/>
    <w:rsid w:val="00432D83"/>
    <w:rsid w:val="004376A0"/>
    <w:rsid w:val="00440CB0"/>
    <w:rsid w:val="00441290"/>
    <w:rsid w:val="004417E7"/>
    <w:rsid w:val="00441DA7"/>
    <w:rsid w:val="00442A03"/>
    <w:rsid w:val="00443DB6"/>
    <w:rsid w:val="0044693F"/>
    <w:rsid w:val="00447926"/>
    <w:rsid w:val="00451D26"/>
    <w:rsid w:val="00451E04"/>
    <w:rsid w:val="00452F70"/>
    <w:rsid w:val="00455D20"/>
    <w:rsid w:val="00455F4B"/>
    <w:rsid w:val="00457AA4"/>
    <w:rsid w:val="004604D1"/>
    <w:rsid w:val="00460C71"/>
    <w:rsid w:val="00461C7C"/>
    <w:rsid w:val="00465381"/>
    <w:rsid w:val="0046749B"/>
    <w:rsid w:val="00467DF1"/>
    <w:rsid w:val="0047093C"/>
    <w:rsid w:val="00470E6E"/>
    <w:rsid w:val="004712ED"/>
    <w:rsid w:val="00473DF4"/>
    <w:rsid w:val="00473FC0"/>
    <w:rsid w:val="00474DE7"/>
    <w:rsid w:val="004758BA"/>
    <w:rsid w:val="00476530"/>
    <w:rsid w:val="00476C28"/>
    <w:rsid w:val="00476D68"/>
    <w:rsid w:val="004802FC"/>
    <w:rsid w:val="00480CD3"/>
    <w:rsid w:val="0048231D"/>
    <w:rsid w:val="00482898"/>
    <w:rsid w:val="00484585"/>
    <w:rsid w:val="004845E9"/>
    <w:rsid w:val="004862CC"/>
    <w:rsid w:val="004864BC"/>
    <w:rsid w:val="00486CE7"/>
    <w:rsid w:val="00487D5E"/>
    <w:rsid w:val="00487EDC"/>
    <w:rsid w:val="00490701"/>
    <w:rsid w:val="00490918"/>
    <w:rsid w:val="00490D01"/>
    <w:rsid w:val="00490E41"/>
    <w:rsid w:val="004910BB"/>
    <w:rsid w:val="004935A2"/>
    <w:rsid w:val="004940D0"/>
    <w:rsid w:val="00494C67"/>
    <w:rsid w:val="00495509"/>
    <w:rsid w:val="00495B7A"/>
    <w:rsid w:val="00496F6B"/>
    <w:rsid w:val="00497B64"/>
    <w:rsid w:val="004A0997"/>
    <w:rsid w:val="004A3317"/>
    <w:rsid w:val="004A4094"/>
    <w:rsid w:val="004A4C2F"/>
    <w:rsid w:val="004A56D0"/>
    <w:rsid w:val="004A65CB"/>
    <w:rsid w:val="004A70CE"/>
    <w:rsid w:val="004B2A01"/>
    <w:rsid w:val="004B7489"/>
    <w:rsid w:val="004B7E26"/>
    <w:rsid w:val="004C0425"/>
    <w:rsid w:val="004C1BFF"/>
    <w:rsid w:val="004C2016"/>
    <w:rsid w:val="004C252A"/>
    <w:rsid w:val="004C4CAF"/>
    <w:rsid w:val="004C525F"/>
    <w:rsid w:val="004C6282"/>
    <w:rsid w:val="004C6910"/>
    <w:rsid w:val="004C72F8"/>
    <w:rsid w:val="004D0771"/>
    <w:rsid w:val="004D1248"/>
    <w:rsid w:val="004D13C1"/>
    <w:rsid w:val="004D1E5D"/>
    <w:rsid w:val="004D446A"/>
    <w:rsid w:val="004D45C4"/>
    <w:rsid w:val="004D546B"/>
    <w:rsid w:val="004D5BF1"/>
    <w:rsid w:val="004D7390"/>
    <w:rsid w:val="004D7DFC"/>
    <w:rsid w:val="004D7FA3"/>
    <w:rsid w:val="004E0A6F"/>
    <w:rsid w:val="004E2334"/>
    <w:rsid w:val="004E23A6"/>
    <w:rsid w:val="004E43D2"/>
    <w:rsid w:val="004E4B13"/>
    <w:rsid w:val="004E5963"/>
    <w:rsid w:val="004E5980"/>
    <w:rsid w:val="004F09AF"/>
    <w:rsid w:val="004F0FCB"/>
    <w:rsid w:val="004F27B9"/>
    <w:rsid w:val="004F2E01"/>
    <w:rsid w:val="004F4A09"/>
    <w:rsid w:val="004F5148"/>
    <w:rsid w:val="004F73C0"/>
    <w:rsid w:val="004F7464"/>
    <w:rsid w:val="004F79AB"/>
    <w:rsid w:val="004F7E75"/>
    <w:rsid w:val="00500315"/>
    <w:rsid w:val="00500E33"/>
    <w:rsid w:val="005028C3"/>
    <w:rsid w:val="00503016"/>
    <w:rsid w:val="005039C6"/>
    <w:rsid w:val="00506AF6"/>
    <w:rsid w:val="00510853"/>
    <w:rsid w:val="00510A89"/>
    <w:rsid w:val="0051165B"/>
    <w:rsid w:val="00511E77"/>
    <w:rsid w:val="00512C91"/>
    <w:rsid w:val="00514C16"/>
    <w:rsid w:val="00515B77"/>
    <w:rsid w:val="00516531"/>
    <w:rsid w:val="0051705B"/>
    <w:rsid w:val="00517C05"/>
    <w:rsid w:val="00520336"/>
    <w:rsid w:val="005222C5"/>
    <w:rsid w:val="00522B89"/>
    <w:rsid w:val="00524020"/>
    <w:rsid w:val="005247BD"/>
    <w:rsid w:val="00524C47"/>
    <w:rsid w:val="005259A6"/>
    <w:rsid w:val="00525F8B"/>
    <w:rsid w:val="00526A3E"/>
    <w:rsid w:val="005300C4"/>
    <w:rsid w:val="00530C64"/>
    <w:rsid w:val="0053164F"/>
    <w:rsid w:val="0053421D"/>
    <w:rsid w:val="0053491A"/>
    <w:rsid w:val="00536116"/>
    <w:rsid w:val="0054070C"/>
    <w:rsid w:val="0054188B"/>
    <w:rsid w:val="005419F1"/>
    <w:rsid w:val="00541BAB"/>
    <w:rsid w:val="0054330B"/>
    <w:rsid w:val="00543DEA"/>
    <w:rsid w:val="005463CC"/>
    <w:rsid w:val="005463D0"/>
    <w:rsid w:val="00550E2E"/>
    <w:rsid w:val="00555A74"/>
    <w:rsid w:val="00556FD2"/>
    <w:rsid w:val="00557120"/>
    <w:rsid w:val="0055767D"/>
    <w:rsid w:val="005622C9"/>
    <w:rsid w:val="00564D60"/>
    <w:rsid w:val="00566B33"/>
    <w:rsid w:val="00567CAC"/>
    <w:rsid w:val="005709B1"/>
    <w:rsid w:val="005713DC"/>
    <w:rsid w:val="00571B64"/>
    <w:rsid w:val="00572AAC"/>
    <w:rsid w:val="00573FF4"/>
    <w:rsid w:val="00575F62"/>
    <w:rsid w:val="00576836"/>
    <w:rsid w:val="00576CAA"/>
    <w:rsid w:val="00576FB2"/>
    <w:rsid w:val="005804B6"/>
    <w:rsid w:val="005816E4"/>
    <w:rsid w:val="005832E5"/>
    <w:rsid w:val="0058397D"/>
    <w:rsid w:val="00584A89"/>
    <w:rsid w:val="00586714"/>
    <w:rsid w:val="005869CC"/>
    <w:rsid w:val="00590D48"/>
    <w:rsid w:val="00590F0E"/>
    <w:rsid w:val="00590F18"/>
    <w:rsid w:val="00592815"/>
    <w:rsid w:val="00593121"/>
    <w:rsid w:val="0059500B"/>
    <w:rsid w:val="00595819"/>
    <w:rsid w:val="00595C9C"/>
    <w:rsid w:val="005A0069"/>
    <w:rsid w:val="005A0A7F"/>
    <w:rsid w:val="005A212E"/>
    <w:rsid w:val="005A220D"/>
    <w:rsid w:val="005A255A"/>
    <w:rsid w:val="005A31C4"/>
    <w:rsid w:val="005A39E3"/>
    <w:rsid w:val="005A3F27"/>
    <w:rsid w:val="005A43C6"/>
    <w:rsid w:val="005A4BB7"/>
    <w:rsid w:val="005A4F40"/>
    <w:rsid w:val="005A5176"/>
    <w:rsid w:val="005A53B5"/>
    <w:rsid w:val="005B0C0E"/>
    <w:rsid w:val="005B43E6"/>
    <w:rsid w:val="005B472F"/>
    <w:rsid w:val="005B4D24"/>
    <w:rsid w:val="005B676B"/>
    <w:rsid w:val="005B6C74"/>
    <w:rsid w:val="005C200A"/>
    <w:rsid w:val="005C212B"/>
    <w:rsid w:val="005C294E"/>
    <w:rsid w:val="005C3C0C"/>
    <w:rsid w:val="005C5B61"/>
    <w:rsid w:val="005C7791"/>
    <w:rsid w:val="005D3AB8"/>
    <w:rsid w:val="005D4879"/>
    <w:rsid w:val="005D4D30"/>
    <w:rsid w:val="005D5B3E"/>
    <w:rsid w:val="005D5E9F"/>
    <w:rsid w:val="005D5FD9"/>
    <w:rsid w:val="005D6207"/>
    <w:rsid w:val="005D65D3"/>
    <w:rsid w:val="005E04AA"/>
    <w:rsid w:val="005E0E79"/>
    <w:rsid w:val="005E2AC7"/>
    <w:rsid w:val="005E31EF"/>
    <w:rsid w:val="005E3C31"/>
    <w:rsid w:val="005E4D94"/>
    <w:rsid w:val="005E63DB"/>
    <w:rsid w:val="005E6C72"/>
    <w:rsid w:val="005F023D"/>
    <w:rsid w:val="005F10D2"/>
    <w:rsid w:val="005F46C1"/>
    <w:rsid w:val="005F46E7"/>
    <w:rsid w:val="005F7197"/>
    <w:rsid w:val="00600050"/>
    <w:rsid w:val="006016DB"/>
    <w:rsid w:val="00601C38"/>
    <w:rsid w:val="0060203C"/>
    <w:rsid w:val="00602227"/>
    <w:rsid w:val="00604FE6"/>
    <w:rsid w:val="00605D07"/>
    <w:rsid w:val="0060664F"/>
    <w:rsid w:val="00610572"/>
    <w:rsid w:val="0061196C"/>
    <w:rsid w:val="00612F7B"/>
    <w:rsid w:val="00613609"/>
    <w:rsid w:val="00614E05"/>
    <w:rsid w:val="006155E5"/>
    <w:rsid w:val="006157E9"/>
    <w:rsid w:val="0061583A"/>
    <w:rsid w:val="00615DBD"/>
    <w:rsid w:val="00616815"/>
    <w:rsid w:val="00616857"/>
    <w:rsid w:val="00617A71"/>
    <w:rsid w:val="00617DEA"/>
    <w:rsid w:val="0062018D"/>
    <w:rsid w:val="00620731"/>
    <w:rsid w:val="00625A59"/>
    <w:rsid w:val="00625DC2"/>
    <w:rsid w:val="00626976"/>
    <w:rsid w:val="006271D3"/>
    <w:rsid w:val="00627F79"/>
    <w:rsid w:val="00630ED9"/>
    <w:rsid w:val="00632751"/>
    <w:rsid w:val="00633CCE"/>
    <w:rsid w:val="006340A9"/>
    <w:rsid w:val="00637D1D"/>
    <w:rsid w:val="00642DB2"/>
    <w:rsid w:val="006457C5"/>
    <w:rsid w:val="0064627D"/>
    <w:rsid w:val="00646EA5"/>
    <w:rsid w:val="00647047"/>
    <w:rsid w:val="00647836"/>
    <w:rsid w:val="00647AB8"/>
    <w:rsid w:val="00650490"/>
    <w:rsid w:val="0065059E"/>
    <w:rsid w:val="00650E7F"/>
    <w:rsid w:val="00652D8C"/>
    <w:rsid w:val="00653107"/>
    <w:rsid w:val="006534BE"/>
    <w:rsid w:val="00655274"/>
    <w:rsid w:val="00655DE3"/>
    <w:rsid w:val="00656DCA"/>
    <w:rsid w:val="00657E04"/>
    <w:rsid w:val="00660284"/>
    <w:rsid w:val="006615DF"/>
    <w:rsid w:val="0066197B"/>
    <w:rsid w:val="00662005"/>
    <w:rsid w:val="006625C9"/>
    <w:rsid w:val="0066346E"/>
    <w:rsid w:val="00664B53"/>
    <w:rsid w:val="00664EC8"/>
    <w:rsid w:val="0066517C"/>
    <w:rsid w:val="00665FD1"/>
    <w:rsid w:val="006660EE"/>
    <w:rsid w:val="00670046"/>
    <w:rsid w:val="006705C4"/>
    <w:rsid w:val="006709A3"/>
    <w:rsid w:val="00670AA0"/>
    <w:rsid w:val="00671620"/>
    <w:rsid w:val="00672189"/>
    <w:rsid w:val="00674712"/>
    <w:rsid w:val="00675E8A"/>
    <w:rsid w:val="00676EA6"/>
    <w:rsid w:val="00677663"/>
    <w:rsid w:val="006805D0"/>
    <w:rsid w:val="00681FB3"/>
    <w:rsid w:val="0068270E"/>
    <w:rsid w:val="00682726"/>
    <w:rsid w:val="00683CCA"/>
    <w:rsid w:val="00684AE9"/>
    <w:rsid w:val="00685C3E"/>
    <w:rsid w:val="00686FB9"/>
    <w:rsid w:val="00690590"/>
    <w:rsid w:val="006927B0"/>
    <w:rsid w:val="006932CB"/>
    <w:rsid w:val="00693D7A"/>
    <w:rsid w:val="0069479D"/>
    <w:rsid w:val="006954B4"/>
    <w:rsid w:val="00695729"/>
    <w:rsid w:val="00695A12"/>
    <w:rsid w:val="00695E53"/>
    <w:rsid w:val="0069749A"/>
    <w:rsid w:val="00697543"/>
    <w:rsid w:val="00697840"/>
    <w:rsid w:val="006A1227"/>
    <w:rsid w:val="006A19AA"/>
    <w:rsid w:val="006A2516"/>
    <w:rsid w:val="006A293D"/>
    <w:rsid w:val="006A3A32"/>
    <w:rsid w:val="006A3CCB"/>
    <w:rsid w:val="006A4494"/>
    <w:rsid w:val="006A4A71"/>
    <w:rsid w:val="006A5F96"/>
    <w:rsid w:val="006A69C5"/>
    <w:rsid w:val="006A7956"/>
    <w:rsid w:val="006A7C29"/>
    <w:rsid w:val="006A7C81"/>
    <w:rsid w:val="006B0605"/>
    <w:rsid w:val="006B10A4"/>
    <w:rsid w:val="006B140F"/>
    <w:rsid w:val="006B22DF"/>
    <w:rsid w:val="006B2471"/>
    <w:rsid w:val="006B3F32"/>
    <w:rsid w:val="006B52FC"/>
    <w:rsid w:val="006B5694"/>
    <w:rsid w:val="006B5EAF"/>
    <w:rsid w:val="006B6193"/>
    <w:rsid w:val="006B67ED"/>
    <w:rsid w:val="006B7CE7"/>
    <w:rsid w:val="006B7DCF"/>
    <w:rsid w:val="006B7F63"/>
    <w:rsid w:val="006C003E"/>
    <w:rsid w:val="006C0B33"/>
    <w:rsid w:val="006C168E"/>
    <w:rsid w:val="006C16AE"/>
    <w:rsid w:val="006C2BE6"/>
    <w:rsid w:val="006C36C8"/>
    <w:rsid w:val="006C3B45"/>
    <w:rsid w:val="006C632C"/>
    <w:rsid w:val="006C65A0"/>
    <w:rsid w:val="006C7128"/>
    <w:rsid w:val="006C7F5E"/>
    <w:rsid w:val="006D080E"/>
    <w:rsid w:val="006D0A51"/>
    <w:rsid w:val="006D1F87"/>
    <w:rsid w:val="006D2098"/>
    <w:rsid w:val="006D39C8"/>
    <w:rsid w:val="006D3B1F"/>
    <w:rsid w:val="006D3E33"/>
    <w:rsid w:val="006D50E9"/>
    <w:rsid w:val="006D540B"/>
    <w:rsid w:val="006D618A"/>
    <w:rsid w:val="006D650A"/>
    <w:rsid w:val="006E096E"/>
    <w:rsid w:val="006E0C2C"/>
    <w:rsid w:val="006E0D3F"/>
    <w:rsid w:val="006E1736"/>
    <w:rsid w:val="006E2E4A"/>
    <w:rsid w:val="006E30CC"/>
    <w:rsid w:val="006E6AB3"/>
    <w:rsid w:val="006E708E"/>
    <w:rsid w:val="006E7503"/>
    <w:rsid w:val="006E7A19"/>
    <w:rsid w:val="006F0B3F"/>
    <w:rsid w:val="006F1212"/>
    <w:rsid w:val="006F143C"/>
    <w:rsid w:val="006F168F"/>
    <w:rsid w:val="006F2C07"/>
    <w:rsid w:val="006F4174"/>
    <w:rsid w:val="006F4824"/>
    <w:rsid w:val="006F7711"/>
    <w:rsid w:val="006F7929"/>
    <w:rsid w:val="006F7941"/>
    <w:rsid w:val="006F7BF1"/>
    <w:rsid w:val="00700D4D"/>
    <w:rsid w:val="00701E46"/>
    <w:rsid w:val="00703A6D"/>
    <w:rsid w:val="00705120"/>
    <w:rsid w:val="007063F0"/>
    <w:rsid w:val="007071DE"/>
    <w:rsid w:val="00707CDD"/>
    <w:rsid w:val="00710383"/>
    <w:rsid w:val="00710C2A"/>
    <w:rsid w:val="0071193A"/>
    <w:rsid w:val="00711DF6"/>
    <w:rsid w:val="00712425"/>
    <w:rsid w:val="0071371B"/>
    <w:rsid w:val="00714D1E"/>
    <w:rsid w:val="00717A00"/>
    <w:rsid w:val="00717F62"/>
    <w:rsid w:val="00721CAC"/>
    <w:rsid w:val="00722793"/>
    <w:rsid w:val="00723D00"/>
    <w:rsid w:val="00723DF0"/>
    <w:rsid w:val="0072647A"/>
    <w:rsid w:val="00726A85"/>
    <w:rsid w:val="00727373"/>
    <w:rsid w:val="0073054D"/>
    <w:rsid w:val="00730BA5"/>
    <w:rsid w:val="00730E90"/>
    <w:rsid w:val="007310C0"/>
    <w:rsid w:val="007312E6"/>
    <w:rsid w:val="007314A0"/>
    <w:rsid w:val="00732295"/>
    <w:rsid w:val="00732863"/>
    <w:rsid w:val="00733E5E"/>
    <w:rsid w:val="00736889"/>
    <w:rsid w:val="007377B2"/>
    <w:rsid w:val="00740D68"/>
    <w:rsid w:val="00740E16"/>
    <w:rsid w:val="00742224"/>
    <w:rsid w:val="0074265D"/>
    <w:rsid w:val="0074302E"/>
    <w:rsid w:val="00743685"/>
    <w:rsid w:val="007458FC"/>
    <w:rsid w:val="00745CA8"/>
    <w:rsid w:val="00747000"/>
    <w:rsid w:val="00747F1F"/>
    <w:rsid w:val="00750483"/>
    <w:rsid w:val="00752199"/>
    <w:rsid w:val="0075258F"/>
    <w:rsid w:val="00752E50"/>
    <w:rsid w:val="00753159"/>
    <w:rsid w:val="00756C54"/>
    <w:rsid w:val="0076001B"/>
    <w:rsid w:val="007605E7"/>
    <w:rsid w:val="00760C36"/>
    <w:rsid w:val="00760F5B"/>
    <w:rsid w:val="007621F4"/>
    <w:rsid w:val="00762ABC"/>
    <w:rsid w:val="00763654"/>
    <w:rsid w:val="007636D7"/>
    <w:rsid w:val="00765157"/>
    <w:rsid w:val="00765F50"/>
    <w:rsid w:val="00767247"/>
    <w:rsid w:val="00771A36"/>
    <w:rsid w:val="007722FF"/>
    <w:rsid w:val="007742F2"/>
    <w:rsid w:val="007779DF"/>
    <w:rsid w:val="007779F8"/>
    <w:rsid w:val="00780B57"/>
    <w:rsid w:val="00782F85"/>
    <w:rsid w:val="0078357E"/>
    <w:rsid w:val="00787518"/>
    <w:rsid w:val="00787986"/>
    <w:rsid w:val="00787E65"/>
    <w:rsid w:val="007901A5"/>
    <w:rsid w:val="0079271C"/>
    <w:rsid w:val="00792E6F"/>
    <w:rsid w:val="00793086"/>
    <w:rsid w:val="007933FA"/>
    <w:rsid w:val="007945D2"/>
    <w:rsid w:val="00796061"/>
    <w:rsid w:val="007963FB"/>
    <w:rsid w:val="007A2011"/>
    <w:rsid w:val="007A2418"/>
    <w:rsid w:val="007A5431"/>
    <w:rsid w:val="007A593D"/>
    <w:rsid w:val="007A7D73"/>
    <w:rsid w:val="007B15AC"/>
    <w:rsid w:val="007B257C"/>
    <w:rsid w:val="007B2E46"/>
    <w:rsid w:val="007B493D"/>
    <w:rsid w:val="007B4A01"/>
    <w:rsid w:val="007B4A30"/>
    <w:rsid w:val="007B5763"/>
    <w:rsid w:val="007B5CF3"/>
    <w:rsid w:val="007B6CBD"/>
    <w:rsid w:val="007B7995"/>
    <w:rsid w:val="007B7DBF"/>
    <w:rsid w:val="007C05F8"/>
    <w:rsid w:val="007C0F92"/>
    <w:rsid w:val="007C2316"/>
    <w:rsid w:val="007C24D0"/>
    <w:rsid w:val="007C38E5"/>
    <w:rsid w:val="007C43BA"/>
    <w:rsid w:val="007C4952"/>
    <w:rsid w:val="007C4E4F"/>
    <w:rsid w:val="007C5CEE"/>
    <w:rsid w:val="007C6CAD"/>
    <w:rsid w:val="007C6F14"/>
    <w:rsid w:val="007D1E2B"/>
    <w:rsid w:val="007D234A"/>
    <w:rsid w:val="007D2509"/>
    <w:rsid w:val="007D3AD2"/>
    <w:rsid w:val="007D479E"/>
    <w:rsid w:val="007D57FC"/>
    <w:rsid w:val="007D740D"/>
    <w:rsid w:val="007E22D1"/>
    <w:rsid w:val="007E281F"/>
    <w:rsid w:val="007E2C2E"/>
    <w:rsid w:val="007E39FE"/>
    <w:rsid w:val="007E3E20"/>
    <w:rsid w:val="007E4FE4"/>
    <w:rsid w:val="007E563C"/>
    <w:rsid w:val="007E62B8"/>
    <w:rsid w:val="007E65E3"/>
    <w:rsid w:val="007E76EB"/>
    <w:rsid w:val="007F1CF9"/>
    <w:rsid w:val="007F2E3F"/>
    <w:rsid w:val="007F322D"/>
    <w:rsid w:val="007F3D56"/>
    <w:rsid w:val="007F402B"/>
    <w:rsid w:val="007F4472"/>
    <w:rsid w:val="007F46C1"/>
    <w:rsid w:val="007F645B"/>
    <w:rsid w:val="007F71DE"/>
    <w:rsid w:val="008011EB"/>
    <w:rsid w:val="00803838"/>
    <w:rsid w:val="00803C09"/>
    <w:rsid w:val="00803C78"/>
    <w:rsid w:val="00804246"/>
    <w:rsid w:val="00804D76"/>
    <w:rsid w:val="00804EA8"/>
    <w:rsid w:val="00805848"/>
    <w:rsid w:val="00806AD9"/>
    <w:rsid w:val="00806D03"/>
    <w:rsid w:val="008106DA"/>
    <w:rsid w:val="008141CB"/>
    <w:rsid w:val="008143C1"/>
    <w:rsid w:val="00814ABA"/>
    <w:rsid w:val="00814D66"/>
    <w:rsid w:val="008174A5"/>
    <w:rsid w:val="00817F0C"/>
    <w:rsid w:val="008204F1"/>
    <w:rsid w:val="00820719"/>
    <w:rsid w:val="0082097F"/>
    <w:rsid w:val="0082293E"/>
    <w:rsid w:val="00823E9A"/>
    <w:rsid w:val="008248DB"/>
    <w:rsid w:val="00826573"/>
    <w:rsid w:val="008313BD"/>
    <w:rsid w:val="00833A02"/>
    <w:rsid w:val="00833F14"/>
    <w:rsid w:val="0083690A"/>
    <w:rsid w:val="00837626"/>
    <w:rsid w:val="00837734"/>
    <w:rsid w:val="00841A36"/>
    <w:rsid w:val="008432BE"/>
    <w:rsid w:val="008432E3"/>
    <w:rsid w:val="00843452"/>
    <w:rsid w:val="008444BC"/>
    <w:rsid w:val="0084482F"/>
    <w:rsid w:val="00845AAD"/>
    <w:rsid w:val="00845EE5"/>
    <w:rsid w:val="00847E34"/>
    <w:rsid w:val="00851168"/>
    <w:rsid w:val="008517CD"/>
    <w:rsid w:val="00852E36"/>
    <w:rsid w:val="008548DE"/>
    <w:rsid w:val="00855864"/>
    <w:rsid w:val="00856A5C"/>
    <w:rsid w:val="00856C81"/>
    <w:rsid w:val="008577BA"/>
    <w:rsid w:val="00860638"/>
    <w:rsid w:val="00860D15"/>
    <w:rsid w:val="008620FF"/>
    <w:rsid w:val="00862499"/>
    <w:rsid w:val="00862564"/>
    <w:rsid w:val="0086261A"/>
    <w:rsid w:val="00862F8F"/>
    <w:rsid w:val="008643C0"/>
    <w:rsid w:val="0086551B"/>
    <w:rsid w:val="008660EA"/>
    <w:rsid w:val="0086733C"/>
    <w:rsid w:val="00867A3D"/>
    <w:rsid w:val="008702E5"/>
    <w:rsid w:val="00873183"/>
    <w:rsid w:val="008747E6"/>
    <w:rsid w:val="0087532D"/>
    <w:rsid w:val="00876ABC"/>
    <w:rsid w:val="0087783C"/>
    <w:rsid w:val="008802B3"/>
    <w:rsid w:val="008804A8"/>
    <w:rsid w:val="008811A2"/>
    <w:rsid w:val="008812A7"/>
    <w:rsid w:val="008817AB"/>
    <w:rsid w:val="008830BF"/>
    <w:rsid w:val="00886618"/>
    <w:rsid w:val="008876B7"/>
    <w:rsid w:val="00887D9C"/>
    <w:rsid w:val="00887F18"/>
    <w:rsid w:val="00890C4E"/>
    <w:rsid w:val="00891369"/>
    <w:rsid w:val="008917BC"/>
    <w:rsid w:val="00891BA3"/>
    <w:rsid w:val="00891EAA"/>
    <w:rsid w:val="00892279"/>
    <w:rsid w:val="0089264E"/>
    <w:rsid w:val="00895438"/>
    <w:rsid w:val="00896512"/>
    <w:rsid w:val="00896A29"/>
    <w:rsid w:val="00896C5C"/>
    <w:rsid w:val="008970EB"/>
    <w:rsid w:val="008973FD"/>
    <w:rsid w:val="008A1A8A"/>
    <w:rsid w:val="008A2071"/>
    <w:rsid w:val="008A32F0"/>
    <w:rsid w:val="008A3BFB"/>
    <w:rsid w:val="008A43B3"/>
    <w:rsid w:val="008A67F3"/>
    <w:rsid w:val="008A6DB0"/>
    <w:rsid w:val="008B0193"/>
    <w:rsid w:val="008B0840"/>
    <w:rsid w:val="008B0E97"/>
    <w:rsid w:val="008B18AC"/>
    <w:rsid w:val="008B1C9C"/>
    <w:rsid w:val="008B2FA0"/>
    <w:rsid w:val="008B3A5B"/>
    <w:rsid w:val="008B4607"/>
    <w:rsid w:val="008B5065"/>
    <w:rsid w:val="008C04BE"/>
    <w:rsid w:val="008C1018"/>
    <w:rsid w:val="008C1AD5"/>
    <w:rsid w:val="008C2847"/>
    <w:rsid w:val="008C3CE3"/>
    <w:rsid w:val="008C5181"/>
    <w:rsid w:val="008C5D83"/>
    <w:rsid w:val="008C6570"/>
    <w:rsid w:val="008C7165"/>
    <w:rsid w:val="008C7A7A"/>
    <w:rsid w:val="008D08B3"/>
    <w:rsid w:val="008D1C03"/>
    <w:rsid w:val="008D2060"/>
    <w:rsid w:val="008D3914"/>
    <w:rsid w:val="008D476E"/>
    <w:rsid w:val="008D4862"/>
    <w:rsid w:val="008D50AA"/>
    <w:rsid w:val="008D5330"/>
    <w:rsid w:val="008D6A6D"/>
    <w:rsid w:val="008E0253"/>
    <w:rsid w:val="008E048E"/>
    <w:rsid w:val="008E04FB"/>
    <w:rsid w:val="008E129F"/>
    <w:rsid w:val="008E16D9"/>
    <w:rsid w:val="008E2C5C"/>
    <w:rsid w:val="008E3AE7"/>
    <w:rsid w:val="008E412D"/>
    <w:rsid w:val="008E42C3"/>
    <w:rsid w:val="008E4A63"/>
    <w:rsid w:val="008E5267"/>
    <w:rsid w:val="008E713B"/>
    <w:rsid w:val="008F2BEF"/>
    <w:rsid w:val="008F2C52"/>
    <w:rsid w:val="008F3CF7"/>
    <w:rsid w:val="008F4607"/>
    <w:rsid w:val="008F5FAE"/>
    <w:rsid w:val="00902A0E"/>
    <w:rsid w:val="00902DA7"/>
    <w:rsid w:val="009033A8"/>
    <w:rsid w:val="00905881"/>
    <w:rsid w:val="00910A61"/>
    <w:rsid w:val="00911A60"/>
    <w:rsid w:val="00912037"/>
    <w:rsid w:val="0091218D"/>
    <w:rsid w:val="009136C4"/>
    <w:rsid w:val="009140A5"/>
    <w:rsid w:val="00914E68"/>
    <w:rsid w:val="00915EA3"/>
    <w:rsid w:val="0092071A"/>
    <w:rsid w:val="0092536E"/>
    <w:rsid w:val="0092641E"/>
    <w:rsid w:val="009268A2"/>
    <w:rsid w:val="009301B2"/>
    <w:rsid w:val="00930B0F"/>
    <w:rsid w:val="00930EF4"/>
    <w:rsid w:val="00931C27"/>
    <w:rsid w:val="009325C6"/>
    <w:rsid w:val="00933085"/>
    <w:rsid w:val="009335E6"/>
    <w:rsid w:val="00934E14"/>
    <w:rsid w:val="00940A35"/>
    <w:rsid w:val="009449F2"/>
    <w:rsid w:val="00944B6F"/>
    <w:rsid w:val="00945493"/>
    <w:rsid w:val="00945811"/>
    <w:rsid w:val="0094672B"/>
    <w:rsid w:val="00946B25"/>
    <w:rsid w:val="00946BE3"/>
    <w:rsid w:val="0095019D"/>
    <w:rsid w:val="00952785"/>
    <w:rsid w:val="00952B60"/>
    <w:rsid w:val="0095338F"/>
    <w:rsid w:val="0095386B"/>
    <w:rsid w:val="009568F8"/>
    <w:rsid w:val="00956CED"/>
    <w:rsid w:val="00957898"/>
    <w:rsid w:val="00957F7C"/>
    <w:rsid w:val="009603B6"/>
    <w:rsid w:val="00961065"/>
    <w:rsid w:val="00961A64"/>
    <w:rsid w:val="0096334C"/>
    <w:rsid w:val="0096341B"/>
    <w:rsid w:val="00963B4E"/>
    <w:rsid w:val="0096436A"/>
    <w:rsid w:val="00965B3C"/>
    <w:rsid w:val="00966261"/>
    <w:rsid w:val="009675BB"/>
    <w:rsid w:val="00971F2D"/>
    <w:rsid w:val="00972E5B"/>
    <w:rsid w:val="00974051"/>
    <w:rsid w:val="00975DE5"/>
    <w:rsid w:val="00976D98"/>
    <w:rsid w:val="00977CB7"/>
    <w:rsid w:val="00980462"/>
    <w:rsid w:val="00980A46"/>
    <w:rsid w:val="00980DF9"/>
    <w:rsid w:val="00981199"/>
    <w:rsid w:val="009828E1"/>
    <w:rsid w:val="00982C9B"/>
    <w:rsid w:val="00982F21"/>
    <w:rsid w:val="009839DF"/>
    <w:rsid w:val="009847A2"/>
    <w:rsid w:val="00984EC9"/>
    <w:rsid w:val="00987047"/>
    <w:rsid w:val="009875B2"/>
    <w:rsid w:val="0099243C"/>
    <w:rsid w:val="0099299F"/>
    <w:rsid w:val="00994B03"/>
    <w:rsid w:val="00995537"/>
    <w:rsid w:val="009965E7"/>
    <w:rsid w:val="0099677D"/>
    <w:rsid w:val="009978E0"/>
    <w:rsid w:val="00997B57"/>
    <w:rsid w:val="00997FFA"/>
    <w:rsid w:val="009A2C54"/>
    <w:rsid w:val="009A321C"/>
    <w:rsid w:val="009A4898"/>
    <w:rsid w:val="009A530F"/>
    <w:rsid w:val="009A5423"/>
    <w:rsid w:val="009A6038"/>
    <w:rsid w:val="009B1705"/>
    <w:rsid w:val="009B2512"/>
    <w:rsid w:val="009B25A7"/>
    <w:rsid w:val="009B5113"/>
    <w:rsid w:val="009B5679"/>
    <w:rsid w:val="009B6FA3"/>
    <w:rsid w:val="009B7BE0"/>
    <w:rsid w:val="009C01FD"/>
    <w:rsid w:val="009C0A3C"/>
    <w:rsid w:val="009C295F"/>
    <w:rsid w:val="009C59F6"/>
    <w:rsid w:val="009C5C69"/>
    <w:rsid w:val="009C5F01"/>
    <w:rsid w:val="009C5FC8"/>
    <w:rsid w:val="009C60F4"/>
    <w:rsid w:val="009C6338"/>
    <w:rsid w:val="009C72E3"/>
    <w:rsid w:val="009C77C4"/>
    <w:rsid w:val="009D09BE"/>
    <w:rsid w:val="009D0ED6"/>
    <w:rsid w:val="009D1392"/>
    <w:rsid w:val="009D1BE9"/>
    <w:rsid w:val="009D3712"/>
    <w:rsid w:val="009D46F3"/>
    <w:rsid w:val="009D4C58"/>
    <w:rsid w:val="009D561A"/>
    <w:rsid w:val="009D60B1"/>
    <w:rsid w:val="009D6930"/>
    <w:rsid w:val="009E1712"/>
    <w:rsid w:val="009E235F"/>
    <w:rsid w:val="009E29AD"/>
    <w:rsid w:val="009E3041"/>
    <w:rsid w:val="009E47C2"/>
    <w:rsid w:val="009E5B94"/>
    <w:rsid w:val="009E5D41"/>
    <w:rsid w:val="009E7188"/>
    <w:rsid w:val="009F06B7"/>
    <w:rsid w:val="009F122F"/>
    <w:rsid w:val="009F152D"/>
    <w:rsid w:val="009F15B9"/>
    <w:rsid w:val="009F1991"/>
    <w:rsid w:val="009F1CD3"/>
    <w:rsid w:val="009F268C"/>
    <w:rsid w:val="009F58CD"/>
    <w:rsid w:val="009F7737"/>
    <w:rsid w:val="00A00D05"/>
    <w:rsid w:val="00A031BB"/>
    <w:rsid w:val="00A0445D"/>
    <w:rsid w:val="00A05164"/>
    <w:rsid w:val="00A05BEE"/>
    <w:rsid w:val="00A05C71"/>
    <w:rsid w:val="00A067BD"/>
    <w:rsid w:val="00A07209"/>
    <w:rsid w:val="00A10253"/>
    <w:rsid w:val="00A11D4E"/>
    <w:rsid w:val="00A1201B"/>
    <w:rsid w:val="00A12E5C"/>
    <w:rsid w:val="00A13825"/>
    <w:rsid w:val="00A13C72"/>
    <w:rsid w:val="00A1614A"/>
    <w:rsid w:val="00A16919"/>
    <w:rsid w:val="00A16DC3"/>
    <w:rsid w:val="00A21AA6"/>
    <w:rsid w:val="00A2202B"/>
    <w:rsid w:val="00A22C3A"/>
    <w:rsid w:val="00A23000"/>
    <w:rsid w:val="00A23130"/>
    <w:rsid w:val="00A23508"/>
    <w:rsid w:val="00A2386D"/>
    <w:rsid w:val="00A24C68"/>
    <w:rsid w:val="00A26397"/>
    <w:rsid w:val="00A26CD3"/>
    <w:rsid w:val="00A274A6"/>
    <w:rsid w:val="00A30249"/>
    <w:rsid w:val="00A307F8"/>
    <w:rsid w:val="00A30821"/>
    <w:rsid w:val="00A33133"/>
    <w:rsid w:val="00A33D30"/>
    <w:rsid w:val="00A35E04"/>
    <w:rsid w:val="00A366A1"/>
    <w:rsid w:val="00A41D53"/>
    <w:rsid w:val="00A43FE6"/>
    <w:rsid w:val="00A458CE"/>
    <w:rsid w:val="00A46DD6"/>
    <w:rsid w:val="00A4756D"/>
    <w:rsid w:val="00A47B37"/>
    <w:rsid w:val="00A517DC"/>
    <w:rsid w:val="00A5289D"/>
    <w:rsid w:val="00A52AFA"/>
    <w:rsid w:val="00A533CE"/>
    <w:rsid w:val="00A540AA"/>
    <w:rsid w:val="00A54113"/>
    <w:rsid w:val="00A54369"/>
    <w:rsid w:val="00A563CE"/>
    <w:rsid w:val="00A576EC"/>
    <w:rsid w:val="00A5771F"/>
    <w:rsid w:val="00A57BDF"/>
    <w:rsid w:val="00A60677"/>
    <w:rsid w:val="00A62BEF"/>
    <w:rsid w:val="00A63BE1"/>
    <w:rsid w:val="00A65CC0"/>
    <w:rsid w:val="00A67879"/>
    <w:rsid w:val="00A70DD1"/>
    <w:rsid w:val="00A724B6"/>
    <w:rsid w:val="00A73694"/>
    <w:rsid w:val="00A74DB7"/>
    <w:rsid w:val="00A755B4"/>
    <w:rsid w:val="00A77EE3"/>
    <w:rsid w:val="00A77FF7"/>
    <w:rsid w:val="00A8117E"/>
    <w:rsid w:val="00A818D6"/>
    <w:rsid w:val="00A82AF3"/>
    <w:rsid w:val="00A848F8"/>
    <w:rsid w:val="00A84A7A"/>
    <w:rsid w:val="00A855E1"/>
    <w:rsid w:val="00A86780"/>
    <w:rsid w:val="00A869DF"/>
    <w:rsid w:val="00A872C4"/>
    <w:rsid w:val="00A920E2"/>
    <w:rsid w:val="00A92374"/>
    <w:rsid w:val="00A92DCC"/>
    <w:rsid w:val="00A93CB8"/>
    <w:rsid w:val="00A9426D"/>
    <w:rsid w:val="00A968E1"/>
    <w:rsid w:val="00A969DF"/>
    <w:rsid w:val="00A975E4"/>
    <w:rsid w:val="00AA09A5"/>
    <w:rsid w:val="00AA09C3"/>
    <w:rsid w:val="00AA0D6A"/>
    <w:rsid w:val="00AA170D"/>
    <w:rsid w:val="00AA23C7"/>
    <w:rsid w:val="00AA2467"/>
    <w:rsid w:val="00AA43E2"/>
    <w:rsid w:val="00AA5A6D"/>
    <w:rsid w:val="00AA5CC4"/>
    <w:rsid w:val="00AA5D0F"/>
    <w:rsid w:val="00AB08D6"/>
    <w:rsid w:val="00AB5FD5"/>
    <w:rsid w:val="00AB5FE4"/>
    <w:rsid w:val="00AB6108"/>
    <w:rsid w:val="00AB6DAF"/>
    <w:rsid w:val="00AB79FB"/>
    <w:rsid w:val="00AB7B0D"/>
    <w:rsid w:val="00AC073C"/>
    <w:rsid w:val="00AC0EE8"/>
    <w:rsid w:val="00AC1986"/>
    <w:rsid w:val="00AC31B8"/>
    <w:rsid w:val="00AC33EA"/>
    <w:rsid w:val="00AC394C"/>
    <w:rsid w:val="00AC3B7D"/>
    <w:rsid w:val="00AC5A83"/>
    <w:rsid w:val="00AC5E62"/>
    <w:rsid w:val="00AC5EF0"/>
    <w:rsid w:val="00AD08DA"/>
    <w:rsid w:val="00AD0D60"/>
    <w:rsid w:val="00AD0DD3"/>
    <w:rsid w:val="00AD21D9"/>
    <w:rsid w:val="00AD586B"/>
    <w:rsid w:val="00AD5939"/>
    <w:rsid w:val="00AD6499"/>
    <w:rsid w:val="00AD758D"/>
    <w:rsid w:val="00AD7914"/>
    <w:rsid w:val="00AE21AD"/>
    <w:rsid w:val="00AE3585"/>
    <w:rsid w:val="00AE3E04"/>
    <w:rsid w:val="00AE4013"/>
    <w:rsid w:val="00AE5934"/>
    <w:rsid w:val="00AE66BC"/>
    <w:rsid w:val="00AE692C"/>
    <w:rsid w:val="00AE6B90"/>
    <w:rsid w:val="00AF0048"/>
    <w:rsid w:val="00AF0708"/>
    <w:rsid w:val="00AF0E78"/>
    <w:rsid w:val="00AF211D"/>
    <w:rsid w:val="00AF2474"/>
    <w:rsid w:val="00AF2A42"/>
    <w:rsid w:val="00AF37EF"/>
    <w:rsid w:val="00AF4115"/>
    <w:rsid w:val="00AF5D85"/>
    <w:rsid w:val="00AF66BE"/>
    <w:rsid w:val="00AF6769"/>
    <w:rsid w:val="00AF6CC0"/>
    <w:rsid w:val="00AF780E"/>
    <w:rsid w:val="00AF7C08"/>
    <w:rsid w:val="00B02080"/>
    <w:rsid w:val="00B05729"/>
    <w:rsid w:val="00B05A06"/>
    <w:rsid w:val="00B05C75"/>
    <w:rsid w:val="00B05C7C"/>
    <w:rsid w:val="00B05E21"/>
    <w:rsid w:val="00B0694D"/>
    <w:rsid w:val="00B06DE1"/>
    <w:rsid w:val="00B07660"/>
    <w:rsid w:val="00B07688"/>
    <w:rsid w:val="00B07E38"/>
    <w:rsid w:val="00B111F8"/>
    <w:rsid w:val="00B1189E"/>
    <w:rsid w:val="00B11EB0"/>
    <w:rsid w:val="00B1223E"/>
    <w:rsid w:val="00B132D9"/>
    <w:rsid w:val="00B146B0"/>
    <w:rsid w:val="00B20920"/>
    <w:rsid w:val="00B20CF9"/>
    <w:rsid w:val="00B22574"/>
    <w:rsid w:val="00B229D9"/>
    <w:rsid w:val="00B23C32"/>
    <w:rsid w:val="00B243CA"/>
    <w:rsid w:val="00B25A76"/>
    <w:rsid w:val="00B26BE5"/>
    <w:rsid w:val="00B312E0"/>
    <w:rsid w:val="00B31679"/>
    <w:rsid w:val="00B31680"/>
    <w:rsid w:val="00B3254A"/>
    <w:rsid w:val="00B3303B"/>
    <w:rsid w:val="00B34F55"/>
    <w:rsid w:val="00B35326"/>
    <w:rsid w:val="00B35B8E"/>
    <w:rsid w:val="00B37BF1"/>
    <w:rsid w:val="00B40EF1"/>
    <w:rsid w:val="00B4116F"/>
    <w:rsid w:val="00B41BA4"/>
    <w:rsid w:val="00B41DDB"/>
    <w:rsid w:val="00B43A37"/>
    <w:rsid w:val="00B443B6"/>
    <w:rsid w:val="00B450F0"/>
    <w:rsid w:val="00B45357"/>
    <w:rsid w:val="00B45D1D"/>
    <w:rsid w:val="00B45ED0"/>
    <w:rsid w:val="00B52DA3"/>
    <w:rsid w:val="00B60A37"/>
    <w:rsid w:val="00B62068"/>
    <w:rsid w:val="00B6366C"/>
    <w:rsid w:val="00B63EF5"/>
    <w:rsid w:val="00B65055"/>
    <w:rsid w:val="00B66993"/>
    <w:rsid w:val="00B67792"/>
    <w:rsid w:val="00B678C4"/>
    <w:rsid w:val="00B67AF1"/>
    <w:rsid w:val="00B70A37"/>
    <w:rsid w:val="00B714FB"/>
    <w:rsid w:val="00B74D60"/>
    <w:rsid w:val="00B75DDA"/>
    <w:rsid w:val="00B7717F"/>
    <w:rsid w:val="00B77C2B"/>
    <w:rsid w:val="00B819CC"/>
    <w:rsid w:val="00B81B64"/>
    <w:rsid w:val="00B834AE"/>
    <w:rsid w:val="00B83F54"/>
    <w:rsid w:val="00B847BA"/>
    <w:rsid w:val="00B847D0"/>
    <w:rsid w:val="00B8590D"/>
    <w:rsid w:val="00B86004"/>
    <w:rsid w:val="00B86034"/>
    <w:rsid w:val="00B91CAF"/>
    <w:rsid w:val="00B91FE9"/>
    <w:rsid w:val="00B9230D"/>
    <w:rsid w:val="00B9258C"/>
    <w:rsid w:val="00B9375E"/>
    <w:rsid w:val="00B93C99"/>
    <w:rsid w:val="00B93FC8"/>
    <w:rsid w:val="00B956AA"/>
    <w:rsid w:val="00B95904"/>
    <w:rsid w:val="00B96287"/>
    <w:rsid w:val="00BA0147"/>
    <w:rsid w:val="00BA2044"/>
    <w:rsid w:val="00BA2D42"/>
    <w:rsid w:val="00BA483C"/>
    <w:rsid w:val="00BA7203"/>
    <w:rsid w:val="00BA7A57"/>
    <w:rsid w:val="00BA7EA4"/>
    <w:rsid w:val="00BB0301"/>
    <w:rsid w:val="00BB0B40"/>
    <w:rsid w:val="00BB2478"/>
    <w:rsid w:val="00BB3DBD"/>
    <w:rsid w:val="00BB4029"/>
    <w:rsid w:val="00BB4632"/>
    <w:rsid w:val="00BB52E1"/>
    <w:rsid w:val="00BB5604"/>
    <w:rsid w:val="00BB6AB6"/>
    <w:rsid w:val="00BB6E66"/>
    <w:rsid w:val="00BB6F2A"/>
    <w:rsid w:val="00BB7934"/>
    <w:rsid w:val="00BC0883"/>
    <w:rsid w:val="00BC28EE"/>
    <w:rsid w:val="00BC3586"/>
    <w:rsid w:val="00BC6A6B"/>
    <w:rsid w:val="00BC6DFD"/>
    <w:rsid w:val="00BC70C3"/>
    <w:rsid w:val="00BC77EF"/>
    <w:rsid w:val="00BD04BA"/>
    <w:rsid w:val="00BD0B96"/>
    <w:rsid w:val="00BD0D55"/>
    <w:rsid w:val="00BD0F2B"/>
    <w:rsid w:val="00BD10DA"/>
    <w:rsid w:val="00BD150D"/>
    <w:rsid w:val="00BD1EAA"/>
    <w:rsid w:val="00BD2398"/>
    <w:rsid w:val="00BD27B1"/>
    <w:rsid w:val="00BD6EA8"/>
    <w:rsid w:val="00BE167F"/>
    <w:rsid w:val="00BE1AB4"/>
    <w:rsid w:val="00BE1CCD"/>
    <w:rsid w:val="00BE22F3"/>
    <w:rsid w:val="00BE23FB"/>
    <w:rsid w:val="00BE2412"/>
    <w:rsid w:val="00BE2748"/>
    <w:rsid w:val="00BE34F1"/>
    <w:rsid w:val="00BE54A1"/>
    <w:rsid w:val="00BE6509"/>
    <w:rsid w:val="00BE6B0A"/>
    <w:rsid w:val="00BE7AD2"/>
    <w:rsid w:val="00BF1773"/>
    <w:rsid w:val="00BF1D00"/>
    <w:rsid w:val="00BF1E0A"/>
    <w:rsid w:val="00BF39AA"/>
    <w:rsid w:val="00BF4856"/>
    <w:rsid w:val="00BF6486"/>
    <w:rsid w:val="00BF6FE6"/>
    <w:rsid w:val="00BF7BA0"/>
    <w:rsid w:val="00C0049B"/>
    <w:rsid w:val="00C0056F"/>
    <w:rsid w:val="00C01AD1"/>
    <w:rsid w:val="00C01B58"/>
    <w:rsid w:val="00C022E2"/>
    <w:rsid w:val="00C02900"/>
    <w:rsid w:val="00C04B8A"/>
    <w:rsid w:val="00C05614"/>
    <w:rsid w:val="00C05D59"/>
    <w:rsid w:val="00C061FE"/>
    <w:rsid w:val="00C065C5"/>
    <w:rsid w:val="00C07EF4"/>
    <w:rsid w:val="00C103FA"/>
    <w:rsid w:val="00C10412"/>
    <w:rsid w:val="00C1093D"/>
    <w:rsid w:val="00C11170"/>
    <w:rsid w:val="00C12173"/>
    <w:rsid w:val="00C12F91"/>
    <w:rsid w:val="00C13A96"/>
    <w:rsid w:val="00C142B3"/>
    <w:rsid w:val="00C163D5"/>
    <w:rsid w:val="00C17515"/>
    <w:rsid w:val="00C179E0"/>
    <w:rsid w:val="00C209D2"/>
    <w:rsid w:val="00C20E3C"/>
    <w:rsid w:val="00C21358"/>
    <w:rsid w:val="00C23167"/>
    <w:rsid w:val="00C2439F"/>
    <w:rsid w:val="00C24AFE"/>
    <w:rsid w:val="00C25C6F"/>
    <w:rsid w:val="00C261EB"/>
    <w:rsid w:val="00C26B9A"/>
    <w:rsid w:val="00C26C40"/>
    <w:rsid w:val="00C3070F"/>
    <w:rsid w:val="00C30E41"/>
    <w:rsid w:val="00C32CCC"/>
    <w:rsid w:val="00C3305B"/>
    <w:rsid w:val="00C3386F"/>
    <w:rsid w:val="00C34A3B"/>
    <w:rsid w:val="00C350F1"/>
    <w:rsid w:val="00C36BA5"/>
    <w:rsid w:val="00C36F12"/>
    <w:rsid w:val="00C3718D"/>
    <w:rsid w:val="00C37256"/>
    <w:rsid w:val="00C3778E"/>
    <w:rsid w:val="00C379F5"/>
    <w:rsid w:val="00C421BD"/>
    <w:rsid w:val="00C42BDD"/>
    <w:rsid w:val="00C42FF3"/>
    <w:rsid w:val="00C4487B"/>
    <w:rsid w:val="00C45503"/>
    <w:rsid w:val="00C457A5"/>
    <w:rsid w:val="00C4582F"/>
    <w:rsid w:val="00C46D1C"/>
    <w:rsid w:val="00C47261"/>
    <w:rsid w:val="00C47EB6"/>
    <w:rsid w:val="00C50408"/>
    <w:rsid w:val="00C516B7"/>
    <w:rsid w:val="00C51A9A"/>
    <w:rsid w:val="00C54514"/>
    <w:rsid w:val="00C556D7"/>
    <w:rsid w:val="00C55806"/>
    <w:rsid w:val="00C61E5B"/>
    <w:rsid w:val="00C6255E"/>
    <w:rsid w:val="00C6425E"/>
    <w:rsid w:val="00C6460C"/>
    <w:rsid w:val="00C64B57"/>
    <w:rsid w:val="00C65BE7"/>
    <w:rsid w:val="00C6680F"/>
    <w:rsid w:val="00C6696E"/>
    <w:rsid w:val="00C672FC"/>
    <w:rsid w:val="00C70DDE"/>
    <w:rsid w:val="00C71177"/>
    <w:rsid w:val="00C749C3"/>
    <w:rsid w:val="00C74B84"/>
    <w:rsid w:val="00C74C57"/>
    <w:rsid w:val="00C74D65"/>
    <w:rsid w:val="00C75E79"/>
    <w:rsid w:val="00C80556"/>
    <w:rsid w:val="00C808B2"/>
    <w:rsid w:val="00C82308"/>
    <w:rsid w:val="00C84040"/>
    <w:rsid w:val="00C84787"/>
    <w:rsid w:val="00C84E73"/>
    <w:rsid w:val="00C85CAB"/>
    <w:rsid w:val="00C8678C"/>
    <w:rsid w:val="00C87A50"/>
    <w:rsid w:val="00C9071F"/>
    <w:rsid w:val="00C9083F"/>
    <w:rsid w:val="00C9091E"/>
    <w:rsid w:val="00C923FB"/>
    <w:rsid w:val="00C9252D"/>
    <w:rsid w:val="00C92538"/>
    <w:rsid w:val="00C9309E"/>
    <w:rsid w:val="00C93260"/>
    <w:rsid w:val="00C93411"/>
    <w:rsid w:val="00C93E88"/>
    <w:rsid w:val="00C93FD6"/>
    <w:rsid w:val="00C94C95"/>
    <w:rsid w:val="00C94EF9"/>
    <w:rsid w:val="00C9561C"/>
    <w:rsid w:val="00C957A5"/>
    <w:rsid w:val="00C95950"/>
    <w:rsid w:val="00C961C5"/>
    <w:rsid w:val="00C96E30"/>
    <w:rsid w:val="00CA01B4"/>
    <w:rsid w:val="00CA0642"/>
    <w:rsid w:val="00CA085C"/>
    <w:rsid w:val="00CA0C2B"/>
    <w:rsid w:val="00CA1AFB"/>
    <w:rsid w:val="00CA2C4F"/>
    <w:rsid w:val="00CA36C2"/>
    <w:rsid w:val="00CA3F8A"/>
    <w:rsid w:val="00CA5795"/>
    <w:rsid w:val="00CA6CF4"/>
    <w:rsid w:val="00CB022B"/>
    <w:rsid w:val="00CB0D7A"/>
    <w:rsid w:val="00CB2133"/>
    <w:rsid w:val="00CB35A8"/>
    <w:rsid w:val="00CB3B2D"/>
    <w:rsid w:val="00CB44B1"/>
    <w:rsid w:val="00CB4A25"/>
    <w:rsid w:val="00CC0225"/>
    <w:rsid w:val="00CC0D7F"/>
    <w:rsid w:val="00CC4B5A"/>
    <w:rsid w:val="00CC53A4"/>
    <w:rsid w:val="00CC58EF"/>
    <w:rsid w:val="00CC6922"/>
    <w:rsid w:val="00CC73CF"/>
    <w:rsid w:val="00CC7975"/>
    <w:rsid w:val="00CD11B4"/>
    <w:rsid w:val="00CD273D"/>
    <w:rsid w:val="00CD2B98"/>
    <w:rsid w:val="00CD32B4"/>
    <w:rsid w:val="00CD3613"/>
    <w:rsid w:val="00CD3DAA"/>
    <w:rsid w:val="00CD4BDD"/>
    <w:rsid w:val="00CD4D3F"/>
    <w:rsid w:val="00CD7DC7"/>
    <w:rsid w:val="00CE0767"/>
    <w:rsid w:val="00CE3162"/>
    <w:rsid w:val="00CE70C0"/>
    <w:rsid w:val="00CE78AE"/>
    <w:rsid w:val="00CE7FAD"/>
    <w:rsid w:val="00CF12E0"/>
    <w:rsid w:val="00CF1A49"/>
    <w:rsid w:val="00CF2045"/>
    <w:rsid w:val="00CF23D7"/>
    <w:rsid w:val="00CF32FF"/>
    <w:rsid w:val="00CF41C6"/>
    <w:rsid w:val="00CF711E"/>
    <w:rsid w:val="00CF7FDC"/>
    <w:rsid w:val="00D02964"/>
    <w:rsid w:val="00D02DB6"/>
    <w:rsid w:val="00D0305A"/>
    <w:rsid w:val="00D03EA9"/>
    <w:rsid w:val="00D040BE"/>
    <w:rsid w:val="00D0505C"/>
    <w:rsid w:val="00D056CF"/>
    <w:rsid w:val="00D065E5"/>
    <w:rsid w:val="00D105CE"/>
    <w:rsid w:val="00D156C1"/>
    <w:rsid w:val="00D17052"/>
    <w:rsid w:val="00D17BCF"/>
    <w:rsid w:val="00D20CA7"/>
    <w:rsid w:val="00D23767"/>
    <w:rsid w:val="00D23B5F"/>
    <w:rsid w:val="00D26977"/>
    <w:rsid w:val="00D3067F"/>
    <w:rsid w:val="00D30A99"/>
    <w:rsid w:val="00D328B5"/>
    <w:rsid w:val="00D33791"/>
    <w:rsid w:val="00D3603F"/>
    <w:rsid w:val="00D37CA6"/>
    <w:rsid w:val="00D41211"/>
    <w:rsid w:val="00D4273A"/>
    <w:rsid w:val="00D43F9D"/>
    <w:rsid w:val="00D444A2"/>
    <w:rsid w:val="00D44A46"/>
    <w:rsid w:val="00D44A96"/>
    <w:rsid w:val="00D45AD1"/>
    <w:rsid w:val="00D46B3E"/>
    <w:rsid w:val="00D50201"/>
    <w:rsid w:val="00D5112E"/>
    <w:rsid w:val="00D53AFA"/>
    <w:rsid w:val="00D53EFA"/>
    <w:rsid w:val="00D54446"/>
    <w:rsid w:val="00D54893"/>
    <w:rsid w:val="00D563E2"/>
    <w:rsid w:val="00D572A6"/>
    <w:rsid w:val="00D57A71"/>
    <w:rsid w:val="00D57B41"/>
    <w:rsid w:val="00D6013B"/>
    <w:rsid w:val="00D62891"/>
    <w:rsid w:val="00D62A5D"/>
    <w:rsid w:val="00D64DF8"/>
    <w:rsid w:val="00D64FD2"/>
    <w:rsid w:val="00D65044"/>
    <w:rsid w:val="00D664EB"/>
    <w:rsid w:val="00D66D7A"/>
    <w:rsid w:val="00D72C3C"/>
    <w:rsid w:val="00D75413"/>
    <w:rsid w:val="00D7559A"/>
    <w:rsid w:val="00D773E8"/>
    <w:rsid w:val="00D777C6"/>
    <w:rsid w:val="00D808B4"/>
    <w:rsid w:val="00D821A7"/>
    <w:rsid w:val="00D82252"/>
    <w:rsid w:val="00D82E5F"/>
    <w:rsid w:val="00D8418A"/>
    <w:rsid w:val="00D84F90"/>
    <w:rsid w:val="00D85615"/>
    <w:rsid w:val="00D868BB"/>
    <w:rsid w:val="00D86C68"/>
    <w:rsid w:val="00D87678"/>
    <w:rsid w:val="00D90100"/>
    <w:rsid w:val="00D91353"/>
    <w:rsid w:val="00D9253B"/>
    <w:rsid w:val="00D936A7"/>
    <w:rsid w:val="00D93D58"/>
    <w:rsid w:val="00D96D3A"/>
    <w:rsid w:val="00D970E3"/>
    <w:rsid w:val="00DA15A6"/>
    <w:rsid w:val="00DA2766"/>
    <w:rsid w:val="00DA597B"/>
    <w:rsid w:val="00DA5DD1"/>
    <w:rsid w:val="00DA631D"/>
    <w:rsid w:val="00DA64C7"/>
    <w:rsid w:val="00DA6A20"/>
    <w:rsid w:val="00DA7FB4"/>
    <w:rsid w:val="00DB060A"/>
    <w:rsid w:val="00DB1257"/>
    <w:rsid w:val="00DB3AD0"/>
    <w:rsid w:val="00DB41B6"/>
    <w:rsid w:val="00DB4C11"/>
    <w:rsid w:val="00DB4FD3"/>
    <w:rsid w:val="00DB6A9D"/>
    <w:rsid w:val="00DB79FC"/>
    <w:rsid w:val="00DC00F9"/>
    <w:rsid w:val="00DC02FB"/>
    <w:rsid w:val="00DC15C2"/>
    <w:rsid w:val="00DC171A"/>
    <w:rsid w:val="00DC1884"/>
    <w:rsid w:val="00DC1A2B"/>
    <w:rsid w:val="00DC5987"/>
    <w:rsid w:val="00DC5E48"/>
    <w:rsid w:val="00DC65FB"/>
    <w:rsid w:val="00DD17FB"/>
    <w:rsid w:val="00DD1E91"/>
    <w:rsid w:val="00DD22CE"/>
    <w:rsid w:val="00DD30C3"/>
    <w:rsid w:val="00DD38C1"/>
    <w:rsid w:val="00DD38D0"/>
    <w:rsid w:val="00DD705F"/>
    <w:rsid w:val="00DD715A"/>
    <w:rsid w:val="00DD7E5A"/>
    <w:rsid w:val="00DE0529"/>
    <w:rsid w:val="00DE072D"/>
    <w:rsid w:val="00DE3D5F"/>
    <w:rsid w:val="00DE6129"/>
    <w:rsid w:val="00DE67EB"/>
    <w:rsid w:val="00DE6F5C"/>
    <w:rsid w:val="00DE75DF"/>
    <w:rsid w:val="00DF11E4"/>
    <w:rsid w:val="00DF253A"/>
    <w:rsid w:val="00DF345E"/>
    <w:rsid w:val="00DF3DDF"/>
    <w:rsid w:val="00DF3E9D"/>
    <w:rsid w:val="00DF4FEE"/>
    <w:rsid w:val="00DF7F1D"/>
    <w:rsid w:val="00E00AE7"/>
    <w:rsid w:val="00E01A30"/>
    <w:rsid w:val="00E01FB7"/>
    <w:rsid w:val="00E025D9"/>
    <w:rsid w:val="00E0265A"/>
    <w:rsid w:val="00E02BCC"/>
    <w:rsid w:val="00E03756"/>
    <w:rsid w:val="00E04595"/>
    <w:rsid w:val="00E079F5"/>
    <w:rsid w:val="00E10271"/>
    <w:rsid w:val="00E13096"/>
    <w:rsid w:val="00E132A3"/>
    <w:rsid w:val="00E13630"/>
    <w:rsid w:val="00E13CAE"/>
    <w:rsid w:val="00E16639"/>
    <w:rsid w:val="00E16B18"/>
    <w:rsid w:val="00E1725A"/>
    <w:rsid w:val="00E20419"/>
    <w:rsid w:val="00E21129"/>
    <w:rsid w:val="00E216EC"/>
    <w:rsid w:val="00E267A7"/>
    <w:rsid w:val="00E276C1"/>
    <w:rsid w:val="00E30F5C"/>
    <w:rsid w:val="00E32CF5"/>
    <w:rsid w:val="00E33826"/>
    <w:rsid w:val="00E33DCA"/>
    <w:rsid w:val="00E35039"/>
    <w:rsid w:val="00E351F0"/>
    <w:rsid w:val="00E35416"/>
    <w:rsid w:val="00E36488"/>
    <w:rsid w:val="00E3698B"/>
    <w:rsid w:val="00E36B7A"/>
    <w:rsid w:val="00E40FE6"/>
    <w:rsid w:val="00E41F29"/>
    <w:rsid w:val="00E4369C"/>
    <w:rsid w:val="00E4392B"/>
    <w:rsid w:val="00E440FC"/>
    <w:rsid w:val="00E44347"/>
    <w:rsid w:val="00E4466F"/>
    <w:rsid w:val="00E455C7"/>
    <w:rsid w:val="00E45950"/>
    <w:rsid w:val="00E46791"/>
    <w:rsid w:val="00E5020E"/>
    <w:rsid w:val="00E50485"/>
    <w:rsid w:val="00E50B67"/>
    <w:rsid w:val="00E5121C"/>
    <w:rsid w:val="00E51B6C"/>
    <w:rsid w:val="00E53336"/>
    <w:rsid w:val="00E536A2"/>
    <w:rsid w:val="00E54AEF"/>
    <w:rsid w:val="00E5558A"/>
    <w:rsid w:val="00E56857"/>
    <w:rsid w:val="00E57D67"/>
    <w:rsid w:val="00E60683"/>
    <w:rsid w:val="00E6153B"/>
    <w:rsid w:val="00E61DC9"/>
    <w:rsid w:val="00E62733"/>
    <w:rsid w:val="00E64043"/>
    <w:rsid w:val="00E643DD"/>
    <w:rsid w:val="00E66853"/>
    <w:rsid w:val="00E669EB"/>
    <w:rsid w:val="00E66C51"/>
    <w:rsid w:val="00E66F66"/>
    <w:rsid w:val="00E671DC"/>
    <w:rsid w:val="00E67E7C"/>
    <w:rsid w:val="00E708D9"/>
    <w:rsid w:val="00E70DCF"/>
    <w:rsid w:val="00E7129A"/>
    <w:rsid w:val="00E71F64"/>
    <w:rsid w:val="00E72475"/>
    <w:rsid w:val="00E7296C"/>
    <w:rsid w:val="00E73D46"/>
    <w:rsid w:val="00E74309"/>
    <w:rsid w:val="00E757A6"/>
    <w:rsid w:val="00E75B9D"/>
    <w:rsid w:val="00E766DD"/>
    <w:rsid w:val="00E76FBC"/>
    <w:rsid w:val="00E777A0"/>
    <w:rsid w:val="00E80B02"/>
    <w:rsid w:val="00E817CE"/>
    <w:rsid w:val="00E82589"/>
    <w:rsid w:val="00E828A0"/>
    <w:rsid w:val="00E831DB"/>
    <w:rsid w:val="00E83AD1"/>
    <w:rsid w:val="00E85102"/>
    <w:rsid w:val="00E860B0"/>
    <w:rsid w:val="00E86601"/>
    <w:rsid w:val="00E87471"/>
    <w:rsid w:val="00E9077E"/>
    <w:rsid w:val="00E92593"/>
    <w:rsid w:val="00E942E2"/>
    <w:rsid w:val="00E9511B"/>
    <w:rsid w:val="00E95144"/>
    <w:rsid w:val="00E96060"/>
    <w:rsid w:val="00E967AE"/>
    <w:rsid w:val="00E96F41"/>
    <w:rsid w:val="00EA04AD"/>
    <w:rsid w:val="00EA0D4D"/>
    <w:rsid w:val="00EA2388"/>
    <w:rsid w:val="00EA2AC3"/>
    <w:rsid w:val="00EA2D7B"/>
    <w:rsid w:val="00EA33BA"/>
    <w:rsid w:val="00EA3AD0"/>
    <w:rsid w:val="00EA7AF2"/>
    <w:rsid w:val="00EA7FD7"/>
    <w:rsid w:val="00EB11CF"/>
    <w:rsid w:val="00EB14C8"/>
    <w:rsid w:val="00EB29A0"/>
    <w:rsid w:val="00EB3123"/>
    <w:rsid w:val="00EB5281"/>
    <w:rsid w:val="00EB55B1"/>
    <w:rsid w:val="00EB57A8"/>
    <w:rsid w:val="00EB70D0"/>
    <w:rsid w:val="00EB7260"/>
    <w:rsid w:val="00EC0660"/>
    <w:rsid w:val="00EC2B8A"/>
    <w:rsid w:val="00EC2BC4"/>
    <w:rsid w:val="00EC4330"/>
    <w:rsid w:val="00EC499A"/>
    <w:rsid w:val="00EC5600"/>
    <w:rsid w:val="00ED1557"/>
    <w:rsid w:val="00ED1908"/>
    <w:rsid w:val="00ED1B78"/>
    <w:rsid w:val="00ED1FB3"/>
    <w:rsid w:val="00ED482F"/>
    <w:rsid w:val="00ED4CB0"/>
    <w:rsid w:val="00ED5B98"/>
    <w:rsid w:val="00EE1849"/>
    <w:rsid w:val="00EE4916"/>
    <w:rsid w:val="00EE6273"/>
    <w:rsid w:val="00EF0B34"/>
    <w:rsid w:val="00EF14CE"/>
    <w:rsid w:val="00EF1A9D"/>
    <w:rsid w:val="00EF24FF"/>
    <w:rsid w:val="00EF2538"/>
    <w:rsid w:val="00EF44D8"/>
    <w:rsid w:val="00EF49BB"/>
    <w:rsid w:val="00EF4BE8"/>
    <w:rsid w:val="00EF4CEE"/>
    <w:rsid w:val="00EF582B"/>
    <w:rsid w:val="00EF7711"/>
    <w:rsid w:val="00F00D7F"/>
    <w:rsid w:val="00F014AC"/>
    <w:rsid w:val="00F017BE"/>
    <w:rsid w:val="00F0391C"/>
    <w:rsid w:val="00F05253"/>
    <w:rsid w:val="00F05909"/>
    <w:rsid w:val="00F07ABC"/>
    <w:rsid w:val="00F116B4"/>
    <w:rsid w:val="00F11B75"/>
    <w:rsid w:val="00F129D2"/>
    <w:rsid w:val="00F132B9"/>
    <w:rsid w:val="00F13490"/>
    <w:rsid w:val="00F134B8"/>
    <w:rsid w:val="00F13A6B"/>
    <w:rsid w:val="00F152A1"/>
    <w:rsid w:val="00F153EE"/>
    <w:rsid w:val="00F15A24"/>
    <w:rsid w:val="00F16482"/>
    <w:rsid w:val="00F1697A"/>
    <w:rsid w:val="00F17B49"/>
    <w:rsid w:val="00F20BFB"/>
    <w:rsid w:val="00F2189C"/>
    <w:rsid w:val="00F21BE9"/>
    <w:rsid w:val="00F22479"/>
    <w:rsid w:val="00F23285"/>
    <w:rsid w:val="00F236E0"/>
    <w:rsid w:val="00F237A8"/>
    <w:rsid w:val="00F23D7C"/>
    <w:rsid w:val="00F2467C"/>
    <w:rsid w:val="00F27366"/>
    <w:rsid w:val="00F27496"/>
    <w:rsid w:val="00F300D0"/>
    <w:rsid w:val="00F308FB"/>
    <w:rsid w:val="00F30A99"/>
    <w:rsid w:val="00F321F9"/>
    <w:rsid w:val="00F329AE"/>
    <w:rsid w:val="00F33929"/>
    <w:rsid w:val="00F3437E"/>
    <w:rsid w:val="00F35327"/>
    <w:rsid w:val="00F35D4A"/>
    <w:rsid w:val="00F36629"/>
    <w:rsid w:val="00F3786D"/>
    <w:rsid w:val="00F4073F"/>
    <w:rsid w:val="00F407E8"/>
    <w:rsid w:val="00F40FF2"/>
    <w:rsid w:val="00F41E11"/>
    <w:rsid w:val="00F42ADE"/>
    <w:rsid w:val="00F458F8"/>
    <w:rsid w:val="00F45F1A"/>
    <w:rsid w:val="00F46124"/>
    <w:rsid w:val="00F46434"/>
    <w:rsid w:val="00F46A05"/>
    <w:rsid w:val="00F474CF"/>
    <w:rsid w:val="00F47F96"/>
    <w:rsid w:val="00F50E93"/>
    <w:rsid w:val="00F51355"/>
    <w:rsid w:val="00F51708"/>
    <w:rsid w:val="00F52A5B"/>
    <w:rsid w:val="00F53376"/>
    <w:rsid w:val="00F568E5"/>
    <w:rsid w:val="00F5754F"/>
    <w:rsid w:val="00F57F9B"/>
    <w:rsid w:val="00F612A9"/>
    <w:rsid w:val="00F61EFA"/>
    <w:rsid w:val="00F62063"/>
    <w:rsid w:val="00F625E5"/>
    <w:rsid w:val="00F62C15"/>
    <w:rsid w:val="00F648A6"/>
    <w:rsid w:val="00F64EB6"/>
    <w:rsid w:val="00F6691D"/>
    <w:rsid w:val="00F66BEF"/>
    <w:rsid w:val="00F701D1"/>
    <w:rsid w:val="00F71677"/>
    <w:rsid w:val="00F71BD7"/>
    <w:rsid w:val="00F72D50"/>
    <w:rsid w:val="00F72DBB"/>
    <w:rsid w:val="00F7366D"/>
    <w:rsid w:val="00F75C6B"/>
    <w:rsid w:val="00F80F74"/>
    <w:rsid w:val="00F81A3F"/>
    <w:rsid w:val="00F81D57"/>
    <w:rsid w:val="00F82F8F"/>
    <w:rsid w:val="00F8353B"/>
    <w:rsid w:val="00F8353C"/>
    <w:rsid w:val="00F84799"/>
    <w:rsid w:val="00F85802"/>
    <w:rsid w:val="00F858C8"/>
    <w:rsid w:val="00F868E8"/>
    <w:rsid w:val="00F91289"/>
    <w:rsid w:val="00F91D84"/>
    <w:rsid w:val="00F93A58"/>
    <w:rsid w:val="00F975D8"/>
    <w:rsid w:val="00FA003E"/>
    <w:rsid w:val="00FA238B"/>
    <w:rsid w:val="00FA23C2"/>
    <w:rsid w:val="00FA48D8"/>
    <w:rsid w:val="00FA5EA6"/>
    <w:rsid w:val="00FA651F"/>
    <w:rsid w:val="00FA671A"/>
    <w:rsid w:val="00FA74B8"/>
    <w:rsid w:val="00FA7972"/>
    <w:rsid w:val="00FB1F4D"/>
    <w:rsid w:val="00FB2115"/>
    <w:rsid w:val="00FB2729"/>
    <w:rsid w:val="00FB4174"/>
    <w:rsid w:val="00FB6A60"/>
    <w:rsid w:val="00FB7BAD"/>
    <w:rsid w:val="00FC0219"/>
    <w:rsid w:val="00FC0260"/>
    <w:rsid w:val="00FC0BBA"/>
    <w:rsid w:val="00FC18B2"/>
    <w:rsid w:val="00FC1E34"/>
    <w:rsid w:val="00FC2072"/>
    <w:rsid w:val="00FC26E0"/>
    <w:rsid w:val="00FC416F"/>
    <w:rsid w:val="00FC5966"/>
    <w:rsid w:val="00FC5D81"/>
    <w:rsid w:val="00FC71B1"/>
    <w:rsid w:val="00FD0D5A"/>
    <w:rsid w:val="00FD12F6"/>
    <w:rsid w:val="00FD136F"/>
    <w:rsid w:val="00FD29CC"/>
    <w:rsid w:val="00FD3F37"/>
    <w:rsid w:val="00FD5C96"/>
    <w:rsid w:val="00FD729F"/>
    <w:rsid w:val="00FE0B92"/>
    <w:rsid w:val="00FE1548"/>
    <w:rsid w:val="00FE3312"/>
    <w:rsid w:val="00FE5FC9"/>
    <w:rsid w:val="00FE6732"/>
    <w:rsid w:val="00FE7C8C"/>
    <w:rsid w:val="00FF0EF6"/>
    <w:rsid w:val="00FF2902"/>
    <w:rsid w:val="00FF5C04"/>
    <w:rsid w:val="00FF638F"/>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ED2F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Times New Roman"/>
        <w:sz w:val="24"/>
        <w:szCs w:val="24"/>
        <w:lang w:val="en-AU" w:eastAsia="en-US"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99" w:unhideWhenUsed="1" w:qFormat="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F47F96"/>
    <w:pPr>
      <w:spacing w:after="120" w:line="288" w:lineRule="auto"/>
    </w:pPr>
  </w:style>
  <w:style w:type="paragraph" w:styleId="Heading1">
    <w:name w:val="heading 1"/>
    <w:basedOn w:val="nospace"/>
    <w:next w:val="BodyText"/>
    <w:link w:val="Heading1Char"/>
    <w:autoRedefine/>
    <w:qFormat/>
    <w:rsid w:val="00F47F96"/>
    <w:pPr>
      <w:keepNext/>
      <w:spacing w:after="80"/>
      <w:outlineLvl w:val="0"/>
    </w:pPr>
    <w:rPr>
      <w:b/>
      <w:bCs/>
      <w:color w:val="000000" w:themeColor="text1"/>
      <w:sz w:val="42"/>
      <w:szCs w:val="32"/>
      <w:lang w:val="en-AU"/>
    </w:rPr>
  </w:style>
  <w:style w:type="paragraph" w:styleId="Heading2">
    <w:name w:val="heading 2"/>
    <w:basedOn w:val="nospace"/>
    <w:next w:val="BodyText"/>
    <w:link w:val="Heading2Char"/>
    <w:autoRedefine/>
    <w:qFormat/>
    <w:rsid w:val="00F47F96"/>
    <w:pPr>
      <w:keepNext/>
      <w:numPr>
        <w:ilvl w:val="1"/>
        <w:numId w:val="11"/>
      </w:numPr>
      <w:suppressAutoHyphens/>
      <w:autoSpaceDE w:val="0"/>
      <w:autoSpaceDN w:val="0"/>
      <w:adjustRightInd w:val="0"/>
      <w:spacing w:before="240" w:after="80"/>
      <w:ind w:left="431" w:hanging="431"/>
      <w:jc w:val="both"/>
      <w:textAlignment w:val="center"/>
      <w:outlineLvl w:val="1"/>
    </w:pPr>
    <w:rPr>
      <w:b/>
      <w:bCs/>
      <w:iCs/>
      <w:color w:val="000000" w:themeColor="text1"/>
      <w:sz w:val="30"/>
    </w:rPr>
  </w:style>
  <w:style w:type="paragraph" w:styleId="Heading3">
    <w:name w:val="heading 3"/>
    <w:basedOn w:val="nospace"/>
    <w:next w:val="BodyText"/>
    <w:link w:val="Heading3Char"/>
    <w:autoRedefine/>
    <w:qFormat/>
    <w:rsid w:val="00F47F96"/>
    <w:pPr>
      <w:keepNext/>
      <w:keepLines/>
      <w:spacing w:before="240"/>
      <w:ind w:left="720" w:hanging="720"/>
      <w:jc w:val="both"/>
      <w:outlineLvl w:val="2"/>
    </w:pPr>
    <w:rPr>
      <w:rFonts w:eastAsia="Times New Roman"/>
      <w:b/>
      <w:bCs/>
      <w:color w:val="000000" w:themeColor="text1"/>
    </w:rPr>
  </w:style>
  <w:style w:type="paragraph" w:styleId="Heading4">
    <w:name w:val="heading 4"/>
    <w:basedOn w:val="Normal"/>
    <w:next w:val="Normal"/>
    <w:link w:val="Heading4Char"/>
    <w:autoRedefine/>
    <w:rsid w:val="00AD6499"/>
    <w:pPr>
      <w:keepNext/>
      <w:spacing w:before="240" w:after="60"/>
      <w:outlineLvl w:val="3"/>
    </w:pPr>
    <w:rPr>
      <w:rFonts w:eastAsia="Times New Roman" w:cs="Arial"/>
      <w:b/>
      <w:bCs/>
      <w:szCs w:val="28"/>
    </w:rPr>
  </w:style>
  <w:style w:type="paragraph" w:styleId="Heading5">
    <w:name w:val="heading 5"/>
    <w:basedOn w:val="Normal"/>
    <w:next w:val="Normal"/>
    <w:link w:val="Heading5Char"/>
    <w:rsid w:val="00AD6499"/>
    <w:pPr>
      <w:spacing w:before="240" w:after="60"/>
      <w:outlineLvl w:val="4"/>
    </w:pPr>
    <w:rPr>
      <w:rFonts w:eastAsia="Times New Roman"/>
      <w:b/>
      <w:bCs/>
      <w:i/>
      <w:iCs/>
      <w:sz w:val="26"/>
      <w:szCs w:val="26"/>
    </w:rPr>
  </w:style>
  <w:style w:type="paragraph" w:styleId="Heading6">
    <w:name w:val="heading 6"/>
    <w:basedOn w:val="Normal"/>
    <w:next w:val="Normal"/>
    <w:link w:val="Heading6Char"/>
    <w:rsid w:val="00AD6499"/>
    <w:pPr>
      <w:spacing w:before="240" w:after="60"/>
      <w:outlineLvl w:val="5"/>
    </w:pPr>
    <w:rPr>
      <w:rFonts w:ascii="Times New Roman" w:eastAsia="Times New Roman" w:hAnsi="Times New Roman"/>
      <w:b/>
      <w:bCs/>
      <w:szCs w:val="22"/>
    </w:rPr>
  </w:style>
  <w:style w:type="paragraph" w:styleId="Heading7">
    <w:name w:val="heading 7"/>
    <w:basedOn w:val="Normal"/>
    <w:next w:val="Normal"/>
    <w:link w:val="Heading7Char"/>
    <w:rsid w:val="00AD6499"/>
    <w:pPr>
      <w:spacing w:before="240" w:after="60"/>
      <w:outlineLvl w:val="6"/>
    </w:pPr>
    <w:rPr>
      <w:rFonts w:ascii="Times New Roman" w:eastAsia="Times New Roman" w:hAnsi="Times New Roman"/>
    </w:rPr>
  </w:style>
  <w:style w:type="paragraph" w:styleId="Heading8">
    <w:name w:val="heading 8"/>
    <w:basedOn w:val="Normal"/>
    <w:next w:val="Normal"/>
    <w:link w:val="Heading8Char"/>
    <w:rsid w:val="00AD6499"/>
    <w:pPr>
      <w:spacing w:before="240" w:after="60"/>
      <w:outlineLvl w:val="7"/>
    </w:pPr>
    <w:rPr>
      <w:rFonts w:ascii="Times New Roman" w:eastAsia="Times New Roman" w:hAnsi="Times New Roman"/>
      <w:i/>
      <w:iCs/>
    </w:rPr>
  </w:style>
  <w:style w:type="paragraph" w:styleId="Heading9">
    <w:name w:val="heading 9"/>
    <w:basedOn w:val="Normal"/>
    <w:next w:val="Normal"/>
    <w:link w:val="Heading9Char"/>
    <w:rsid w:val="00AD6499"/>
    <w:pPr>
      <w:spacing w:before="240" w:after="60"/>
      <w:outlineLvl w:val="8"/>
    </w:pPr>
    <w:rPr>
      <w:rFonts w:eastAsia="Times New Roman"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link w:val="CaptionChar"/>
    <w:unhideWhenUsed/>
    <w:qFormat/>
    <w:rsid w:val="00664B53"/>
    <w:pPr>
      <w:spacing w:before="120"/>
    </w:pPr>
    <w:rPr>
      <w:b/>
      <w:iCs/>
      <w:color w:val="000000" w:themeColor="text1"/>
      <w:sz w:val="22"/>
      <w:szCs w:val="18"/>
    </w:rPr>
  </w:style>
  <w:style w:type="character" w:customStyle="1" w:styleId="Heading2Char">
    <w:name w:val="Heading 2 Char"/>
    <w:basedOn w:val="DefaultParagraphFont"/>
    <w:link w:val="Heading2"/>
    <w:rsid w:val="00F47F96"/>
    <w:rPr>
      <w:rFonts w:cs="Arial"/>
      <w:b/>
      <w:bCs/>
      <w:iCs/>
      <w:color w:val="000000" w:themeColor="text1"/>
      <w:sz w:val="30"/>
      <w:lang w:val="en-GB"/>
    </w:rPr>
  </w:style>
  <w:style w:type="table" w:styleId="TableGrid">
    <w:name w:val="Table Grid"/>
    <w:basedOn w:val="TableNormal"/>
    <w:uiPriority w:val="39"/>
    <w:rsid w:val="00803471"/>
    <w:rPr>
      <w:sz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
  </w:style>
  <w:style w:type="paragraph" w:styleId="Header">
    <w:name w:val="header"/>
    <w:basedOn w:val="Normal"/>
    <w:link w:val="HeaderChar"/>
    <w:uiPriority w:val="99"/>
    <w:unhideWhenUsed/>
    <w:rsid w:val="00455F4B"/>
    <w:pPr>
      <w:suppressAutoHyphens/>
      <w:autoSpaceDE w:val="0"/>
      <w:autoSpaceDN w:val="0"/>
      <w:adjustRightInd w:val="0"/>
      <w:spacing w:after="60"/>
      <w:textAlignment w:val="center"/>
    </w:pPr>
    <w:rPr>
      <w:rFonts w:cs="Arial"/>
      <w:color w:val="00C0E1" w:themeColor="accent6"/>
      <w:sz w:val="22"/>
      <w:szCs w:val="22"/>
      <w:lang w:val="en-GB"/>
    </w:rPr>
  </w:style>
  <w:style w:type="character" w:customStyle="1" w:styleId="HeaderChar">
    <w:name w:val="Header Char"/>
    <w:basedOn w:val="DefaultParagraphFont"/>
    <w:link w:val="Header"/>
    <w:uiPriority w:val="99"/>
    <w:rsid w:val="00455F4B"/>
    <w:rPr>
      <w:rFonts w:cs="Arial"/>
      <w:color w:val="00C0E1" w:themeColor="accent6"/>
      <w:sz w:val="22"/>
      <w:szCs w:val="22"/>
      <w:lang w:val="en-GB"/>
    </w:rPr>
  </w:style>
  <w:style w:type="paragraph" w:styleId="Footer">
    <w:name w:val="footer"/>
    <w:basedOn w:val="Normal"/>
    <w:link w:val="FooterChar"/>
    <w:autoRedefine/>
    <w:uiPriority w:val="99"/>
    <w:unhideWhenUsed/>
    <w:rsid w:val="00526A3E"/>
    <w:pPr>
      <w:tabs>
        <w:tab w:val="right" w:pos="9632"/>
      </w:tabs>
      <w:suppressAutoHyphens/>
      <w:autoSpaceDE w:val="0"/>
      <w:autoSpaceDN w:val="0"/>
      <w:adjustRightInd w:val="0"/>
      <w:ind w:right="-289"/>
      <w:jc w:val="right"/>
      <w:textAlignment w:val="center"/>
    </w:pPr>
    <w:rPr>
      <w:rFonts w:cs="Arial"/>
      <w:color w:val="000000" w:themeColor="text1"/>
      <w:sz w:val="20"/>
      <w:szCs w:val="20"/>
      <w:lang w:val="en-GB"/>
    </w:rPr>
  </w:style>
  <w:style w:type="character" w:customStyle="1" w:styleId="FooterChar">
    <w:name w:val="Footer Char"/>
    <w:basedOn w:val="DefaultParagraphFont"/>
    <w:link w:val="Footer"/>
    <w:uiPriority w:val="99"/>
    <w:rsid w:val="00526A3E"/>
    <w:rPr>
      <w:rFonts w:cs="Arial"/>
      <w:color w:val="000000" w:themeColor="text1"/>
      <w:sz w:val="20"/>
      <w:szCs w:val="20"/>
      <w:lang w:val="en-GB"/>
    </w:rPr>
  </w:style>
  <w:style w:type="paragraph" w:styleId="Date">
    <w:name w:val="Date"/>
    <w:basedOn w:val="Normal"/>
    <w:next w:val="Normal"/>
    <w:link w:val="DateChar"/>
    <w:uiPriority w:val="99"/>
    <w:unhideWhenUsed/>
    <w:rsid w:val="006A4A71"/>
    <w:pPr>
      <w:suppressAutoHyphens/>
      <w:autoSpaceDE w:val="0"/>
      <w:autoSpaceDN w:val="0"/>
      <w:adjustRightInd w:val="0"/>
      <w:spacing w:line="260" w:lineRule="atLeast"/>
      <w:jc w:val="right"/>
      <w:textAlignment w:val="baseline"/>
    </w:pPr>
    <w:rPr>
      <w:rFonts w:cs="Helvetica-Bold"/>
      <w:b/>
      <w:bCs/>
      <w:caps/>
      <w:color w:val="FFFFFF"/>
      <w:szCs w:val="20"/>
      <w:lang w:val="en-GB"/>
    </w:rPr>
  </w:style>
  <w:style w:type="character" w:customStyle="1" w:styleId="DateChar">
    <w:name w:val="Date Char"/>
    <w:basedOn w:val="DefaultParagraphFont"/>
    <w:link w:val="Date"/>
    <w:uiPriority w:val="99"/>
    <w:rsid w:val="0025755F"/>
    <w:rPr>
      <w:rFonts w:ascii="Helvetica" w:hAnsi="Helvetica" w:cs="Helvetica-Bold"/>
      <w:b/>
      <w:bCs/>
      <w:caps/>
      <w:color w:val="FFFFFF"/>
      <w:sz w:val="20"/>
      <w:szCs w:val="20"/>
      <w:lang w:val="en-GB"/>
    </w:rPr>
  </w:style>
  <w:style w:type="paragraph" w:styleId="BodyText">
    <w:name w:val="Body Text"/>
    <w:basedOn w:val="Normal"/>
    <w:link w:val="BodyTextChar"/>
    <w:autoRedefine/>
    <w:qFormat/>
    <w:rsid w:val="009268A2"/>
    <w:pPr>
      <w:keepLines/>
      <w:tabs>
        <w:tab w:val="left" w:pos="1843"/>
      </w:tabs>
      <w:spacing w:before="120"/>
      <w:jc w:val="both"/>
    </w:pPr>
    <w:rPr>
      <w:rFonts w:cs="Arial"/>
      <w:szCs w:val="22"/>
      <w:lang w:val="en-GB"/>
    </w:rPr>
  </w:style>
  <w:style w:type="character" w:customStyle="1" w:styleId="BodyTextChar">
    <w:name w:val="Body Text Char"/>
    <w:basedOn w:val="DefaultParagraphFont"/>
    <w:link w:val="BodyText"/>
    <w:rsid w:val="009268A2"/>
    <w:rPr>
      <w:rFonts w:cs="Arial"/>
      <w:szCs w:val="22"/>
      <w:lang w:val="en-GB"/>
    </w:rPr>
  </w:style>
  <w:style w:type="paragraph" w:customStyle="1" w:styleId="Bullet1">
    <w:name w:val="Bullet 1"/>
    <w:basedOn w:val="BodyText"/>
    <w:autoRedefine/>
    <w:qFormat/>
    <w:rsid w:val="00E757A6"/>
    <w:pPr>
      <w:numPr>
        <w:numId w:val="1"/>
      </w:numPr>
      <w:tabs>
        <w:tab w:val="clear" w:pos="284"/>
      </w:tabs>
      <w:ind w:left="641" w:hanging="357"/>
      <w:contextualSpacing/>
    </w:pPr>
  </w:style>
  <w:style w:type="paragraph" w:customStyle="1" w:styleId="Bullet2">
    <w:name w:val="Bullet 2"/>
    <w:basedOn w:val="Normal"/>
    <w:next w:val="BodyText"/>
    <w:autoRedefine/>
    <w:qFormat/>
    <w:rsid w:val="00A533CE"/>
    <w:pPr>
      <w:numPr>
        <w:numId w:val="2"/>
      </w:numPr>
      <w:ind w:left="998" w:hanging="357"/>
      <w:contextualSpacing/>
    </w:pPr>
    <w:rPr>
      <w:rFonts w:cs="Arial"/>
      <w:color w:val="000000"/>
    </w:rPr>
  </w:style>
  <w:style w:type="character" w:customStyle="1" w:styleId="Heading3Char">
    <w:name w:val="Heading 3 Char"/>
    <w:basedOn w:val="DefaultParagraphFont"/>
    <w:link w:val="Heading3"/>
    <w:rsid w:val="00F47F96"/>
    <w:rPr>
      <w:rFonts w:eastAsia="Times New Roman" w:cs="Arial"/>
      <w:b/>
      <w:bCs/>
      <w:color w:val="000000" w:themeColor="text1"/>
      <w:lang w:val="en-GB"/>
    </w:rPr>
  </w:style>
  <w:style w:type="character" w:styleId="PageNumber">
    <w:name w:val="page number"/>
    <w:basedOn w:val="DefaultParagraphFont"/>
    <w:rsid w:val="00B07E38"/>
    <w:rPr>
      <w:rFonts w:ascii="Arial" w:hAnsi="Arial"/>
      <w:sz w:val="14"/>
    </w:rPr>
  </w:style>
  <w:style w:type="paragraph" w:customStyle="1" w:styleId="Bullet3">
    <w:name w:val="Bullet 3"/>
    <w:basedOn w:val="Normal"/>
    <w:rsid w:val="0015261A"/>
    <w:pPr>
      <w:numPr>
        <w:numId w:val="3"/>
      </w:numPr>
      <w:spacing w:after="28"/>
      <w:ind w:left="681" w:hanging="227"/>
    </w:pPr>
    <w:rPr>
      <w:rFonts w:cs="Arial"/>
    </w:rPr>
  </w:style>
  <w:style w:type="character" w:customStyle="1" w:styleId="Bold">
    <w:name w:val="Bold"/>
    <w:uiPriority w:val="99"/>
    <w:rsid w:val="00085A49"/>
    <w:rPr>
      <w:color w:val="000000" w:themeColor="text1"/>
    </w:rPr>
  </w:style>
  <w:style w:type="paragraph" w:customStyle="1" w:styleId="Headline">
    <w:name w:val="Headline"/>
    <w:basedOn w:val="Normal"/>
    <w:rsid w:val="003F3D65"/>
    <w:pPr>
      <w:suppressAutoHyphens/>
      <w:autoSpaceDE w:val="0"/>
      <w:autoSpaceDN w:val="0"/>
      <w:adjustRightInd w:val="0"/>
      <w:textAlignment w:val="center"/>
    </w:pPr>
    <w:rPr>
      <w:rFonts w:asciiTheme="majorHAnsi" w:hAnsiTheme="majorHAnsi" w:cstheme="majorHAnsi"/>
      <w:color w:val="FFFFFF"/>
      <w:sz w:val="88"/>
      <w:szCs w:val="88"/>
      <w:lang w:val="en-GB"/>
    </w:rPr>
  </w:style>
  <w:style w:type="paragraph" w:customStyle="1" w:styleId="HeadlineLarge">
    <w:name w:val="Headline Large"/>
    <w:basedOn w:val="Normal"/>
    <w:rsid w:val="003F3D65"/>
    <w:pPr>
      <w:suppressAutoHyphens/>
      <w:autoSpaceDE w:val="0"/>
      <w:autoSpaceDN w:val="0"/>
      <w:adjustRightInd w:val="0"/>
      <w:textAlignment w:val="center"/>
    </w:pPr>
    <w:rPr>
      <w:rFonts w:asciiTheme="majorHAnsi" w:hAnsiTheme="majorHAnsi" w:cstheme="majorHAnsi"/>
      <w:color w:val="FFFFFF"/>
      <w:sz w:val="100"/>
      <w:szCs w:val="100"/>
      <w:lang w:val="en-GB"/>
    </w:rPr>
  </w:style>
  <w:style w:type="paragraph" w:styleId="BalloonText">
    <w:name w:val="Balloon Text"/>
    <w:basedOn w:val="Normal"/>
    <w:link w:val="BalloonTextChar"/>
    <w:rsid w:val="007F71DE"/>
    <w:rPr>
      <w:rFonts w:ascii="Tahoma" w:hAnsi="Tahoma" w:cs="Tahoma"/>
      <w:sz w:val="16"/>
      <w:szCs w:val="16"/>
    </w:rPr>
  </w:style>
  <w:style w:type="character" w:customStyle="1" w:styleId="BalloonTextChar">
    <w:name w:val="Balloon Text Char"/>
    <w:basedOn w:val="DefaultParagraphFont"/>
    <w:link w:val="BalloonText"/>
    <w:rsid w:val="007F71DE"/>
    <w:rPr>
      <w:rFonts w:ascii="Tahoma" w:hAnsi="Tahoma" w:cs="Tahoma"/>
      <w:noProof/>
      <w:sz w:val="16"/>
      <w:szCs w:val="16"/>
    </w:rPr>
  </w:style>
  <w:style w:type="paragraph" w:styleId="TOCHeading">
    <w:name w:val="TOC Heading"/>
    <w:basedOn w:val="Heading1"/>
    <w:next w:val="Normal"/>
    <w:autoRedefine/>
    <w:uiPriority w:val="39"/>
    <w:unhideWhenUsed/>
    <w:rsid w:val="00134BF7"/>
    <w:pPr>
      <w:keepLines/>
      <w:spacing w:after="240"/>
    </w:pPr>
    <w:rPr>
      <w:rFonts w:eastAsiaTheme="majorEastAsia"/>
      <w:szCs w:val="52"/>
      <w:lang w:val="en-US" w:eastAsia="ja-JP"/>
    </w:rPr>
  </w:style>
  <w:style w:type="paragraph" w:styleId="TOC1">
    <w:name w:val="toc 1"/>
    <w:basedOn w:val="Normal"/>
    <w:next w:val="Normal"/>
    <w:autoRedefine/>
    <w:uiPriority w:val="39"/>
    <w:rsid w:val="00AD6499"/>
    <w:pPr>
      <w:tabs>
        <w:tab w:val="right" w:leader="dot" w:pos="9639"/>
      </w:tabs>
      <w:spacing w:before="240"/>
      <w:ind w:left="709" w:hanging="709"/>
    </w:pPr>
    <w:rPr>
      <w:b/>
      <w:color w:val="000000" w:themeColor="text1"/>
      <w:sz w:val="28"/>
    </w:rPr>
  </w:style>
  <w:style w:type="paragraph" w:styleId="TOC2">
    <w:name w:val="toc 2"/>
    <w:basedOn w:val="Normal"/>
    <w:next w:val="Normal"/>
    <w:autoRedefine/>
    <w:uiPriority w:val="39"/>
    <w:rsid w:val="00AD6499"/>
    <w:pPr>
      <w:tabs>
        <w:tab w:val="right" w:leader="dot" w:pos="9639"/>
      </w:tabs>
      <w:spacing w:after="100"/>
      <w:ind w:left="709" w:hanging="709"/>
    </w:pPr>
    <w:rPr>
      <w:b/>
      <w:noProof/>
      <w:color w:val="000000" w:themeColor="text1"/>
    </w:rPr>
  </w:style>
  <w:style w:type="character" w:styleId="Hyperlink">
    <w:name w:val="Hyperlink"/>
    <w:basedOn w:val="DefaultParagraphFont"/>
    <w:uiPriority w:val="99"/>
    <w:unhideWhenUsed/>
    <w:rsid w:val="00063F98"/>
    <w:rPr>
      <w:rFonts w:ascii="Arial" w:hAnsi="Arial"/>
      <w:color w:val="0000FF"/>
      <w:sz w:val="24"/>
      <w:u w:val="single"/>
    </w:rPr>
  </w:style>
  <w:style w:type="character" w:customStyle="1" w:styleId="Heading4Char">
    <w:name w:val="Heading 4 Char"/>
    <w:basedOn w:val="DefaultParagraphFont"/>
    <w:link w:val="Heading4"/>
    <w:rsid w:val="00E96060"/>
    <w:rPr>
      <w:rFonts w:eastAsia="Times New Roman" w:cs="Arial"/>
      <w:b/>
      <w:bCs/>
      <w:szCs w:val="28"/>
    </w:rPr>
  </w:style>
  <w:style w:type="character" w:customStyle="1" w:styleId="Heading5Char">
    <w:name w:val="Heading 5 Char"/>
    <w:basedOn w:val="DefaultParagraphFont"/>
    <w:link w:val="Heading5"/>
    <w:rsid w:val="00E96060"/>
    <w:rPr>
      <w:rFonts w:eastAsia="Times New Roman"/>
      <w:b/>
      <w:bCs/>
      <w:i/>
      <w:iCs/>
      <w:sz w:val="26"/>
      <w:szCs w:val="26"/>
    </w:rPr>
  </w:style>
  <w:style w:type="character" w:customStyle="1" w:styleId="Heading6Char">
    <w:name w:val="Heading 6 Char"/>
    <w:basedOn w:val="DefaultParagraphFont"/>
    <w:link w:val="Heading6"/>
    <w:rsid w:val="00E96060"/>
    <w:rPr>
      <w:rFonts w:ascii="Times New Roman" w:eastAsia="Times New Roman" w:hAnsi="Times New Roman"/>
      <w:b/>
      <w:bCs/>
      <w:szCs w:val="22"/>
    </w:rPr>
  </w:style>
  <w:style w:type="character" w:customStyle="1" w:styleId="Heading7Char">
    <w:name w:val="Heading 7 Char"/>
    <w:basedOn w:val="DefaultParagraphFont"/>
    <w:link w:val="Heading7"/>
    <w:rsid w:val="00E96060"/>
    <w:rPr>
      <w:rFonts w:ascii="Times New Roman" w:eastAsia="Times New Roman" w:hAnsi="Times New Roman"/>
    </w:rPr>
  </w:style>
  <w:style w:type="character" w:customStyle="1" w:styleId="Heading8Char">
    <w:name w:val="Heading 8 Char"/>
    <w:basedOn w:val="DefaultParagraphFont"/>
    <w:link w:val="Heading8"/>
    <w:rsid w:val="00E96060"/>
    <w:rPr>
      <w:rFonts w:ascii="Times New Roman" w:eastAsia="Times New Roman" w:hAnsi="Times New Roman"/>
      <w:i/>
      <w:iCs/>
    </w:rPr>
  </w:style>
  <w:style w:type="character" w:customStyle="1" w:styleId="Heading9Char">
    <w:name w:val="Heading 9 Char"/>
    <w:basedOn w:val="DefaultParagraphFont"/>
    <w:link w:val="Heading9"/>
    <w:rsid w:val="00E96060"/>
    <w:rPr>
      <w:rFonts w:eastAsia="Times New Roman" w:cs="Arial"/>
      <w:szCs w:val="22"/>
    </w:rPr>
  </w:style>
  <w:style w:type="paragraph" w:styleId="Title">
    <w:name w:val="Title"/>
    <w:basedOn w:val="Normal"/>
    <w:next w:val="Normal"/>
    <w:link w:val="TitleChar"/>
    <w:autoRedefine/>
    <w:qFormat/>
    <w:rsid w:val="00526A3E"/>
    <w:pPr>
      <w:spacing w:after="360" w:line="240" w:lineRule="auto"/>
      <w:ind w:left="-284" w:right="-7"/>
      <w:outlineLvl w:val="0"/>
    </w:pPr>
    <w:rPr>
      <w:rFonts w:cs="Arial"/>
      <w:b/>
      <w:noProof/>
      <w:color w:val="000000" w:themeColor="text1"/>
      <w:sz w:val="80"/>
      <w:szCs w:val="80"/>
      <w:lang w:eastAsia="en-AU"/>
    </w:rPr>
  </w:style>
  <w:style w:type="character" w:customStyle="1" w:styleId="TitleChar">
    <w:name w:val="Title Char"/>
    <w:basedOn w:val="DefaultParagraphFont"/>
    <w:link w:val="Title"/>
    <w:rsid w:val="00526A3E"/>
    <w:rPr>
      <w:rFonts w:cs="Arial"/>
      <w:b/>
      <w:noProof/>
      <w:color w:val="000000" w:themeColor="text1"/>
      <w:sz w:val="80"/>
      <w:szCs w:val="80"/>
      <w:lang w:eastAsia="en-AU"/>
    </w:rPr>
  </w:style>
  <w:style w:type="paragraph" w:styleId="TOC3">
    <w:name w:val="toc 3"/>
    <w:basedOn w:val="Normal"/>
    <w:next w:val="Normal"/>
    <w:autoRedefine/>
    <w:uiPriority w:val="39"/>
    <w:rsid w:val="00AD6499"/>
    <w:pPr>
      <w:tabs>
        <w:tab w:val="right" w:leader="dot" w:pos="9639"/>
      </w:tabs>
      <w:spacing w:after="100"/>
      <w:ind w:left="709" w:hanging="709"/>
    </w:pPr>
    <w:rPr>
      <w:rFonts w:eastAsiaTheme="minorEastAsia" w:cstheme="minorBidi"/>
      <w:noProof/>
      <w:color w:val="000000" w:themeColor="text1"/>
      <w:szCs w:val="22"/>
      <w:lang w:eastAsia="en-AU"/>
    </w:rPr>
  </w:style>
  <w:style w:type="paragraph" w:customStyle="1" w:styleId="AttachmentHeading">
    <w:name w:val="Attachment Heading"/>
    <w:basedOn w:val="Heading2"/>
    <w:link w:val="AttachmentHeadingChar"/>
    <w:autoRedefine/>
    <w:rsid w:val="00276DC9"/>
    <w:pPr>
      <w:tabs>
        <w:tab w:val="left" w:pos="709"/>
      </w:tabs>
      <w:suppressAutoHyphens w:val="0"/>
      <w:autoSpaceDE/>
      <w:autoSpaceDN/>
      <w:adjustRightInd/>
      <w:spacing w:before="120"/>
      <w:textAlignment w:val="auto"/>
    </w:pPr>
    <w:rPr>
      <w:rFonts w:asciiTheme="majorHAnsi" w:hAnsiTheme="majorHAnsi"/>
    </w:rPr>
  </w:style>
  <w:style w:type="character" w:customStyle="1" w:styleId="AttachmentHeadingChar">
    <w:name w:val="Attachment Heading Char"/>
    <w:basedOn w:val="Heading2Char"/>
    <w:link w:val="AttachmentHeading"/>
    <w:rsid w:val="00276DC9"/>
    <w:rPr>
      <w:rFonts w:asciiTheme="majorHAnsi" w:hAnsiTheme="majorHAnsi" w:cs="Arial"/>
      <w:b/>
      <w:bCs/>
      <w:iCs/>
      <w:color w:val="38115E"/>
      <w:sz w:val="30"/>
      <w:lang w:val="en-GB"/>
    </w:rPr>
  </w:style>
  <w:style w:type="paragraph" w:styleId="ListParagraph">
    <w:name w:val="List Paragraph"/>
    <w:basedOn w:val="BodyText"/>
    <w:next w:val="BodyText"/>
    <w:autoRedefine/>
    <w:uiPriority w:val="34"/>
    <w:qFormat/>
    <w:rsid w:val="00D868BB"/>
    <w:pPr>
      <w:numPr>
        <w:numId w:val="9"/>
      </w:numPr>
      <w:spacing w:line="240" w:lineRule="auto"/>
      <w:ind w:right="227"/>
    </w:pPr>
    <w:rPr>
      <w:color w:val="FF0000"/>
      <w:szCs w:val="24"/>
    </w:rPr>
  </w:style>
  <w:style w:type="paragraph" w:customStyle="1" w:styleId="TableHeading">
    <w:name w:val="Table Heading"/>
    <w:basedOn w:val="Normal"/>
    <w:link w:val="TableHeadingChar"/>
    <w:autoRedefine/>
    <w:qFormat/>
    <w:rsid w:val="0000121B"/>
    <w:pPr>
      <w:keepNext/>
      <w:keepLines/>
      <w:spacing w:before="60" w:after="60"/>
      <w:jc w:val="center"/>
    </w:pPr>
    <w:rPr>
      <w:rFonts w:eastAsia="Times New Roman" w:cs="Arial"/>
      <w:b/>
      <w:bCs/>
      <w:color w:val="000000" w:themeColor="text1"/>
      <w:lang w:val="en-US"/>
    </w:rPr>
  </w:style>
  <w:style w:type="character" w:customStyle="1" w:styleId="TableHeadingChar">
    <w:name w:val="Table Heading Char"/>
    <w:basedOn w:val="DefaultParagraphFont"/>
    <w:link w:val="TableHeading"/>
    <w:rsid w:val="0000121B"/>
    <w:rPr>
      <w:rFonts w:eastAsia="Times New Roman" w:cs="Arial"/>
      <w:b/>
      <w:bCs/>
      <w:color w:val="000000" w:themeColor="text1"/>
      <w:lang w:val="en-US"/>
    </w:rPr>
  </w:style>
  <w:style w:type="paragraph" w:customStyle="1" w:styleId="TypeTitle">
    <w:name w:val="Type Title"/>
    <w:basedOn w:val="Title"/>
    <w:link w:val="TypeTitleChar"/>
    <w:rsid w:val="00FC2072"/>
  </w:style>
  <w:style w:type="paragraph" w:customStyle="1" w:styleId="ControlHeading">
    <w:name w:val="Control Heading"/>
    <w:basedOn w:val="Title"/>
    <w:link w:val="ControlHeadingChar"/>
    <w:autoRedefine/>
    <w:rsid w:val="0051165B"/>
    <w:pPr>
      <w:spacing w:before="400" w:after="0"/>
      <w:ind w:right="0"/>
    </w:pPr>
    <w:rPr>
      <w:sz w:val="42"/>
    </w:rPr>
  </w:style>
  <w:style w:type="character" w:customStyle="1" w:styleId="TypeTitleChar">
    <w:name w:val="Type Title Char"/>
    <w:basedOn w:val="TitleChar"/>
    <w:link w:val="TypeTitle"/>
    <w:rsid w:val="00FC2072"/>
    <w:rPr>
      <w:rFonts w:cs="Arial"/>
      <w:b/>
      <w:noProof/>
      <w:color w:val="59BBC8"/>
      <w:sz w:val="80"/>
      <w:szCs w:val="80"/>
      <w:shd w:val="clear" w:color="auto" w:fill="FFFFFF" w:themeFill="background1"/>
      <w:lang w:eastAsia="en-AU"/>
    </w:rPr>
  </w:style>
  <w:style w:type="character" w:customStyle="1" w:styleId="ControlHeadingChar">
    <w:name w:val="Control Heading Char"/>
    <w:basedOn w:val="TitleChar"/>
    <w:link w:val="ControlHeading"/>
    <w:rsid w:val="0051165B"/>
    <w:rPr>
      <w:rFonts w:cs="Arial"/>
      <w:b/>
      <w:noProof/>
      <w:color w:val="2C5C86"/>
      <w:sz w:val="42"/>
      <w:szCs w:val="80"/>
      <w:shd w:val="clear" w:color="auto" w:fill="FFFFFF" w:themeFill="background1"/>
      <w:lang w:eastAsia="en-AU"/>
    </w:rPr>
  </w:style>
  <w:style w:type="paragraph" w:customStyle="1" w:styleId="Instruct">
    <w:name w:val="Instruct"/>
    <w:basedOn w:val="Normal"/>
    <w:link w:val="InstructChar"/>
    <w:autoRedefine/>
    <w:rsid w:val="00276DC9"/>
    <w:rPr>
      <w:rFonts w:cs="Arial"/>
      <w:color w:val="00B050"/>
    </w:rPr>
  </w:style>
  <w:style w:type="character" w:customStyle="1" w:styleId="InstructChar">
    <w:name w:val="Instruct Char"/>
    <w:basedOn w:val="DefaultParagraphFont"/>
    <w:link w:val="Instruct"/>
    <w:rsid w:val="00276DC9"/>
    <w:rPr>
      <w:rFonts w:cs="Arial"/>
      <w:color w:val="00B050"/>
    </w:rPr>
  </w:style>
  <w:style w:type="paragraph" w:customStyle="1" w:styleId="TableContent">
    <w:name w:val="Table Content"/>
    <w:basedOn w:val="Normal"/>
    <w:link w:val="TableContentChar"/>
    <w:qFormat/>
    <w:rsid w:val="00584A89"/>
    <w:pPr>
      <w:spacing w:before="60" w:after="60"/>
    </w:pPr>
    <w:rPr>
      <w:rFonts w:cs="Arial"/>
      <w:color w:val="000000" w:themeColor="text1"/>
    </w:rPr>
  </w:style>
  <w:style w:type="character" w:customStyle="1" w:styleId="TableContentChar">
    <w:name w:val="Table Content Char"/>
    <w:basedOn w:val="DefaultParagraphFont"/>
    <w:link w:val="TableContent"/>
    <w:rsid w:val="00584A89"/>
    <w:rPr>
      <w:rFonts w:cs="Arial"/>
      <w:color w:val="000000" w:themeColor="text1"/>
    </w:rPr>
  </w:style>
  <w:style w:type="paragraph" w:customStyle="1" w:styleId="Subheading">
    <w:name w:val="Subheading"/>
    <w:basedOn w:val="Normal"/>
    <w:autoRedefine/>
    <w:qFormat/>
    <w:rsid w:val="00526A3E"/>
    <w:pPr>
      <w:spacing w:after="600"/>
      <w:ind w:left="-284" w:right="2688"/>
    </w:pPr>
    <w:rPr>
      <w:b/>
      <w:i/>
      <w:iCs/>
      <w:color w:val="000000" w:themeColor="text1"/>
      <w:sz w:val="32"/>
      <w:szCs w:val="28"/>
    </w:rPr>
  </w:style>
  <w:style w:type="paragraph" w:customStyle="1" w:styleId="TableCaption">
    <w:name w:val="Table Caption"/>
    <w:link w:val="TableCaptionChar"/>
    <w:autoRedefine/>
    <w:qFormat/>
    <w:rsid w:val="00A52AFA"/>
    <w:pPr>
      <w:keepNext/>
      <w:spacing w:before="120" w:after="120" w:line="288" w:lineRule="auto"/>
      <w:jc w:val="both"/>
    </w:pPr>
    <w:rPr>
      <w:b/>
      <w:iCs/>
      <w:color w:val="000000"/>
      <w:sz w:val="22"/>
      <w:szCs w:val="18"/>
    </w:rPr>
  </w:style>
  <w:style w:type="paragraph" w:styleId="ListNumber">
    <w:name w:val="List Number"/>
    <w:basedOn w:val="ListParagraph"/>
    <w:autoRedefine/>
    <w:rsid w:val="00BB0301"/>
    <w:pPr>
      <w:framePr w:wrap="around" w:hAnchor="text"/>
      <w:widowControl w:val="0"/>
      <w:numPr>
        <w:numId w:val="4"/>
      </w:numPr>
      <w:tabs>
        <w:tab w:val="left" w:pos="397"/>
      </w:tabs>
      <w:suppressAutoHyphens/>
      <w:autoSpaceDE w:val="0"/>
      <w:autoSpaceDN w:val="0"/>
      <w:adjustRightInd w:val="0"/>
      <w:ind w:left="397" w:hanging="397"/>
      <w:textAlignment w:val="center"/>
    </w:pPr>
    <w:rPr>
      <w:rFonts w:eastAsiaTheme="minorEastAsia"/>
      <w:color w:val="000000"/>
      <w:lang w:eastAsia="ja-JP"/>
    </w:rPr>
  </w:style>
  <w:style w:type="character" w:customStyle="1" w:styleId="CaptionChar">
    <w:name w:val="Caption Char"/>
    <w:basedOn w:val="DefaultParagraphFont"/>
    <w:link w:val="Caption"/>
    <w:rsid w:val="00664B53"/>
    <w:rPr>
      <w:b/>
      <w:iCs/>
      <w:color w:val="000000" w:themeColor="text1"/>
      <w:sz w:val="22"/>
      <w:szCs w:val="18"/>
    </w:rPr>
  </w:style>
  <w:style w:type="character" w:customStyle="1" w:styleId="TableCaptionChar">
    <w:name w:val="Table Caption Char"/>
    <w:basedOn w:val="CaptionChar"/>
    <w:link w:val="TableCaption"/>
    <w:rsid w:val="00A52AFA"/>
    <w:rPr>
      <w:b/>
      <w:iCs/>
      <w:color w:val="000000"/>
      <w:sz w:val="22"/>
      <w:szCs w:val="18"/>
    </w:rPr>
  </w:style>
  <w:style w:type="paragraph" w:customStyle="1" w:styleId="nospace">
    <w:name w:val="no space"/>
    <w:link w:val="nospaceChar"/>
    <w:autoRedefine/>
    <w:rsid w:val="00490E41"/>
    <w:rPr>
      <w:rFonts w:cs="Arial"/>
      <w:lang w:val="en-GB"/>
    </w:rPr>
  </w:style>
  <w:style w:type="character" w:customStyle="1" w:styleId="nospaceChar">
    <w:name w:val="no space Char"/>
    <w:basedOn w:val="BodyTextChar"/>
    <w:link w:val="nospace"/>
    <w:rsid w:val="00490E41"/>
    <w:rPr>
      <w:rFonts w:cs="Arial"/>
      <w:sz w:val="22"/>
      <w:szCs w:val="22"/>
      <w:lang w:val="en-GB"/>
    </w:rPr>
  </w:style>
  <w:style w:type="paragraph" w:customStyle="1" w:styleId="HeaderLine">
    <w:name w:val="Header Line"/>
    <w:basedOn w:val="Header"/>
    <w:link w:val="HeaderLineChar"/>
    <w:autoRedefine/>
    <w:rsid w:val="00383CAD"/>
    <w:pPr>
      <w:spacing w:after="360"/>
      <w:ind w:right="-289"/>
    </w:pPr>
  </w:style>
  <w:style w:type="character" w:customStyle="1" w:styleId="HeaderLineChar">
    <w:name w:val="Header Line Char"/>
    <w:basedOn w:val="HeaderChar"/>
    <w:link w:val="HeaderLine"/>
    <w:rsid w:val="00383CAD"/>
    <w:rPr>
      <w:rFonts w:cs="Arial"/>
      <w:color w:val="00C0E1" w:themeColor="accent6"/>
      <w:sz w:val="22"/>
      <w:szCs w:val="22"/>
      <w:lang w:val="en-GB"/>
    </w:rPr>
  </w:style>
  <w:style w:type="table" w:styleId="TableGridLight">
    <w:name w:val="Grid Table Light"/>
    <w:basedOn w:val="TableNormal"/>
    <w:uiPriority w:val="40"/>
    <w:rsid w:val="00982C9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lockText">
    <w:name w:val="Block Text"/>
    <w:basedOn w:val="Normal"/>
    <w:autoRedefine/>
    <w:uiPriority w:val="99"/>
    <w:qFormat/>
    <w:rsid w:val="00085A49"/>
    <w:pPr>
      <w:pBdr>
        <w:top w:val="single" w:sz="2" w:space="10" w:color="007DBA"/>
        <w:left w:val="single" w:sz="2" w:space="10" w:color="007DBA"/>
        <w:bottom w:val="single" w:sz="2" w:space="10" w:color="007DBA"/>
        <w:right w:val="single" w:sz="2" w:space="10" w:color="007DBA"/>
      </w:pBdr>
      <w:spacing w:after="240"/>
      <w:ind w:left="227" w:right="227"/>
    </w:pPr>
    <w:rPr>
      <w:rFonts w:eastAsiaTheme="minorEastAsia" w:cstheme="minorBidi"/>
      <w:iCs/>
      <w:color w:val="45415D" w:themeColor="text2"/>
      <w:szCs w:val="22"/>
    </w:rPr>
  </w:style>
  <w:style w:type="numbering" w:customStyle="1" w:styleId="Style1">
    <w:name w:val="Style1"/>
    <w:uiPriority w:val="99"/>
    <w:rsid w:val="00064337"/>
    <w:pPr>
      <w:numPr>
        <w:numId w:val="5"/>
      </w:numPr>
    </w:pPr>
  </w:style>
  <w:style w:type="character" w:styleId="UnresolvedMention">
    <w:name w:val="Unresolved Mention"/>
    <w:basedOn w:val="DefaultParagraphFont"/>
    <w:uiPriority w:val="99"/>
    <w:semiHidden/>
    <w:unhideWhenUsed/>
    <w:rsid w:val="00085A49"/>
    <w:rPr>
      <w:color w:val="605E5C"/>
      <w:shd w:val="clear" w:color="auto" w:fill="E1DFDD"/>
    </w:rPr>
  </w:style>
  <w:style w:type="character" w:styleId="FollowedHyperlink">
    <w:name w:val="FollowedHyperlink"/>
    <w:basedOn w:val="DefaultParagraphFont"/>
    <w:semiHidden/>
    <w:unhideWhenUsed/>
    <w:rsid w:val="00F47F96"/>
    <w:rPr>
      <w:color w:val="7030A0"/>
      <w:u w:val="single"/>
    </w:rPr>
  </w:style>
  <w:style w:type="paragraph" w:styleId="FootnoteText">
    <w:name w:val="footnote text"/>
    <w:basedOn w:val="Normal"/>
    <w:link w:val="FootnoteTextChar"/>
    <w:semiHidden/>
    <w:unhideWhenUsed/>
    <w:rsid w:val="00F3437E"/>
    <w:pPr>
      <w:spacing w:after="0" w:line="240" w:lineRule="auto"/>
    </w:pPr>
    <w:rPr>
      <w:sz w:val="20"/>
      <w:szCs w:val="20"/>
    </w:rPr>
  </w:style>
  <w:style w:type="character" w:customStyle="1" w:styleId="FootnoteTextChar">
    <w:name w:val="Footnote Text Char"/>
    <w:basedOn w:val="DefaultParagraphFont"/>
    <w:link w:val="FootnoteText"/>
    <w:semiHidden/>
    <w:rsid w:val="00F3437E"/>
    <w:rPr>
      <w:sz w:val="20"/>
      <w:szCs w:val="20"/>
    </w:rPr>
  </w:style>
  <w:style w:type="character" w:styleId="FootnoteReference">
    <w:name w:val="footnote reference"/>
    <w:basedOn w:val="DefaultParagraphFont"/>
    <w:semiHidden/>
    <w:unhideWhenUsed/>
    <w:rsid w:val="00F3437E"/>
    <w:rPr>
      <w:vertAlign w:val="superscript"/>
    </w:rPr>
  </w:style>
  <w:style w:type="character" w:styleId="CommentReference">
    <w:name w:val="annotation reference"/>
    <w:basedOn w:val="DefaultParagraphFont"/>
    <w:uiPriority w:val="99"/>
    <w:semiHidden/>
    <w:unhideWhenUsed/>
    <w:rsid w:val="00F3437E"/>
    <w:rPr>
      <w:sz w:val="16"/>
      <w:szCs w:val="16"/>
    </w:rPr>
  </w:style>
  <w:style w:type="paragraph" w:styleId="CommentText">
    <w:name w:val="annotation text"/>
    <w:basedOn w:val="Normal"/>
    <w:link w:val="CommentTextChar"/>
    <w:uiPriority w:val="99"/>
    <w:unhideWhenUsed/>
    <w:rsid w:val="00F3437E"/>
    <w:pPr>
      <w:spacing w:line="240" w:lineRule="auto"/>
    </w:pPr>
    <w:rPr>
      <w:sz w:val="20"/>
      <w:szCs w:val="20"/>
    </w:rPr>
  </w:style>
  <w:style w:type="character" w:customStyle="1" w:styleId="CommentTextChar">
    <w:name w:val="Comment Text Char"/>
    <w:basedOn w:val="DefaultParagraphFont"/>
    <w:link w:val="CommentText"/>
    <w:uiPriority w:val="99"/>
    <w:rsid w:val="00F3437E"/>
    <w:rPr>
      <w:sz w:val="20"/>
      <w:szCs w:val="20"/>
    </w:rPr>
  </w:style>
  <w:style w:type="paragraph" w:styleId="CommentSubject">
    <w:name w:val="annotation subject"/>
    <w:basedOn w:val="CommentText"/>
    <w:next w:val="CommentText"/>
    <w:link w:val="CommentSubjectChar"/>
    <w:semiHidden/>
    <w:unhideWhenUsed/>
    <w:rsid w:val="009839DF"/>
    <w:rPr>
      <w:b/>
      <w:bCs/>
    </w:rPr>
  </w:style>
  <w:style w:type="character" w:customStyle="1" w:styleId="CommentSubjectChar">
    <w:name w:val="Comment Subject Char"/>
    <w:basedOn w:val="CommentTextChar"/>
    <w:link w:val="CommentSubject"/>
    <w:semiHidden/>
    <w:rsid w:val="009839DF"/>
    <w:rPr>
      <w:b/>
      <w:bCs/>
      <w:sz w:val="20"/>
      <w:szCs w:val="20"/>
    </w:rPr>
  </w:style>
  <w:style w:type="table" w:styleId="GridTable1Light-Accent1">
    <w:name w:val="Grid Table 1 Light Accent 1"/>
    <w:basedOn w:val="TableNormal"/>
    <w:uiPriority w:val="46"/>
    <w:rsid w:val="00316C04"/>
    <w:tblPr>
      <w:tblStyleRowBandSize w:val="1"/>
      <w:tblStyleColBandSize w:val="1"/>
      <w:tblBorders>
        <w:top w:val="single" w:sz="4" w:space="0" w:color="67F9FF" w:themeColor="accent1" w:themeTint="66"/>
        <w:left w:val="single" w:sz="4" w:space="0" w:color="67F9FF" w:themeColor="accent1" w:themeTint="66"/>
        <w:bottom w:val="single" w:sz="4" w:space="0" w:color="67F9FF" w:themeColor="accent1" w:themeTint="66"/>
        <w:right w:val="single" w:sz="4" w:space="0" w:color="67F9FF" w:themeColor="accent1" w:themeTint="66"/>
        <w:insideH w:val="single" w:sz="4" w:space="0" w:color="67F9FF" w:themeColor="accent1" w:themeTint="66"/>
        <w:insideV w:val="single" w:sz="4" w:space="0" w:color="67F9FF" w:themeColor="accent1" w:themeTint="66"/>
      </w:tblBorders>
    </w:tblPr>
    <w:tblStylePr w:type="firstRow">
      <w:rPr>
        <w:b/>
        <w:bCs/>
      </w:rPr>
      <w:tblPr/>
      <w:tcPr>
        <w:tcBorders>
          <w:bottom w:val="single" w:sz="12" w:space="0" w:color="1CF6FF" w:themeColor="accent1" w:themeTint="99"/>
        </w:tcBorders>
      </w:tcPr>
    </w:tblStylePr>
    <w:tblStylePr w:type="lastRow">
      <w:rPr>
        <w:b/>
        <w:bCs/>
      </w:rPr>
      <w:tblPr/>
      <w:tcPr>
        <w:tcBorders>
          <w:top w:val="double" w:sz="2" w:space="0" w:color="1CF6FF" w:themeColor="accent1" w:themeTint="99"/>
        </w:tcBorders>
      </w:tcPr>
    </w:tblStylePr>
    <w:tblStylePr w:type="firstCol">
      <w:rPr>
        <w:b/>
        <w:bCs/>
      </w:rPr>
    </w:tblStylePr>
    <w:tblStylePr w:type="lastCol">
      <w:rPr>
        <w:b/>
        <w:bCs/>
      </w:rPr>
    </w:tblStylePr>
  </w:style>
  <w:style w:type="paragraph" w:styleId="Revision">
    <w:name w:val="Revision"/>
    <w:hidden/>
    <w:semiHidden/>
    <w:rsid w:val="002F014B"/>
  </w:style>
  <w:style w:type="paragraph" w:customStyle="1" w:styleId="Style2">
    <w:name w:val="Style2"/>
    <w:basedOn w:val="Heading1"/>
    <w:link w:val="Style2Char"/>
    <w:qFormat/>
    <w:rsid w:val="00B96287"/>
  </w:style>
  <w:style w:type="character" w:customStyle="1" w:styleId="Heading1Char">
    <w:name w:val="Heading 1 Char"/>
    <w:basedOn w:val="nospaceChar"/>
    <w:link w:val="Heading1"/>
    <w:rsid w:val="00F47F96"/>
    <w:rPr>
      <w:rFonts w:cs="Arial"/>
      <w:b/>
      <w:bCs/>
      <w:color w:val="000000" w:themeColor="text1"/>
      <w:sz w:val="42"/>
      <w:szCs w:val="32"/>
      <w:lang w:val="en-GB"/>
    </w:rPr>
  </w:style>
  <w:style w:type="character" w:customStyle="1" w:styleId="Style2Char">
    <w:name w:val="Style2 Char"/>
    <w:basedOn w:val="Heading1Char"/>
    <w:link w:val="Style2"/>
    <w:rsid w:val="00B96287"/>
    <w:rPr>
      <w:rFonts w:cs="Arial"/>
      <w:b/>
      <w:bCs/>
      <w:color w:val="38115E"/>
      <w:sz w:val="42"/>
      <w:szCs w:val="32"/>
      <w:lang w:val="en-GB"/>
    </w:rPr>
  </w:style>
  <w:style w:type="paragraph" w:styleId="TOC4">
    <w:name w:val="toc 4"/>
    <w:basedOn w:val="Normal"/>
    <w:next w:val="Normal"/>
    <w:autoRedefine/>
    <w:uiPriority w:val="39"/>
    <w:unhideWhenUsed/>
    <w:rsid w:val="00CE78AE"/>
    <w:pPr>
      <w:spacing w:after="100"/>
      <w:ind w:left="720"/>
    </w:pPr>
  </w:style>
  <w:style w:type="table" w:styleId="GridTable6Colorful-Accent4">
    <w:name w:val="Grid Table 6 Colorful Accent 4"/>
    <w:basedOn w:val="TableNormal"/>
    <w:uiPriority w:val="51"/>
    <w:rsid w:val="00C0056F"/>
    <w:rPr>
      <w:rFonts w:asciiTheme="minorHAnsi" w:eastAsiaTheme="minorHAnsi" w:hAnsiTheme="minorHAnsi" w:cstheme="minorBidi"/>
      <w:color w:val="D72E10" w:themeColor="accent4" w:themeShade="BF"/>
      <w:kern w:val="2"/>
      <w14:ligatures w14:val="standardContextual"/>
    </w:rPr>
    <w:tblPr>
      <w:tblStyleRowBandSize w:val="1"/>
      <w:tblStyleColBandSize w:val="1"/>
      <w:tblBorders>
        <w:top w:val="single" w:sz="4" w:space="0" w:color="F69E8F" w:themeColor="accent4" w:themeTint="99"/>
        <w:left w:val="single" w:sz="4" w:space="0" w:color="F69E8F" w:themeColor="accent4" w:themeTint="99"/>
        <w:bottom w:val="single" w:sz="4" w:space="0" w:color="F69E8F" w:themeColor="accent4" w:themeTint="99"/>
        <w:right w:val="single" w:sz="4" w:space="0" w:color="F69E8F" w:themeColor="accent4" w:themeTint="99"/>
        <w:insideH w:val="single" w:sz="4" w:space="0" w:color="F69E8F" w:themeColor="accent4" w:themeTint="99"/>
        <w:insideV w:val="single" w:sz="4" w:space="0" w:color="F69E8F" w:themeColor="accent4" w:themeTint="99"/>
      </w:tblBorders>
    </w:tblPr>
    <w:tblStylePr w:type="firstRow">
      <w:rPr>
        <w:b/>
        <w:bCs/>
      </w:rPr>
      <w:tblPr/>
      <w:tcPr>
        <w:tcBorders>
          <w:bottom w:val="single" w:sz="12" w:space="0" w:color="F69E8F" w:themeColor="accent4" w:themeTint="99"/>
        </w:tcBorders>
      </w:tcPr>
    </w:tblStylePr>
    <w:tblStylePr w:type="lastRow">
      <w:rPr>
        <w:b/>
        <w:bCs/>
      </w:rPr>
      <w:tblPr/>
      <w:tcPr>
        <w:tcBorders>
          <w:top w:val="double" w:sz="4" w:space="0" w:color="F69E8F" w:themeColor="accent4" w:themeTint="99"/>
        </w:tcBorders>
      </w:tcPr>
    </w:tblStylePr>
    <w:tblStylePr w:type="firstCol">
      <w:rPr>
        <w:b/>
        <w:bCs/>
      </w:rPr>
    </w:tblStylePr>
    <w:tblStylePr w:type="lastCol">
      <w:rPr>
        <w:b/>
        <w:bCs/>
      </w:rPr>
    </w:tblStylePr>
    <w:tblStylePr w:type="band1Vert">
      <w:tblPr/>
      <w:tcPr>
        <w:shd w:val="clear" w:color="auto" w:fill="FCDED9" w:themeFill="accent4" w:themeFillTint="33"/>
      </w:tcPr>
    </w:tblStylePr>
    <w:tblStylePr w:type="band1Horz">
      <w:tblPr/>
      <w:tcPr>
        <w:shd w:val="clear" w:color="auto" w:fill="FCDED9" w:themeFill="accent4" w:themeFillTint="33"/>
      </w:tcPr>
    </w:tblStylePr>
  </w:style>
  <w:style w:type="table" w:styleId="GridTable6Colorful">
    <w:name w:val="Grid Table 6 Colorful"/>
    <w:basedOn w:val="TableNormal"/>
    <w:uiPriority w:val="51"/>
    <w:rsid w:val="00A82AF3"/>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OC5">
    <w:name w:val="toc 5"/>
    <w:basedOn w:val="Normal"/>
    <w:next w:val="Normal"/>
    <w:autoRedefine/>
    <w:uiPriority w:val="39"/>
    <w:unhideWhenUsed/>
    <w:rsid w:val="001472FD"/>
    <w:pPr>
      <w:spacing w:after="100" w:line="278" w:lineRule="auto"/>
      <w:ind w:left="960"/>
    </w:pPr>
    <w:rPr>
      <w:rFonts w:asciiTheme="minorHAnsi" w:eastAsiaTheme="minorEastAsia" w:hAnsiTheme="minorHAnsi" w:cstheme="minorBidi"/>
      <w:kern w:val="2"/>
      <w:lang w:eastAsia="en-AU"/>
      <w14:ligatures w14:val="standardContextual"/>
    </w:rPr>
  </w:style>
  <w:style w:type="paragraph" w:styleId="TOC6">
    <w:name w:val="toc 6"/>
    <w:basedOn w:val="Normal"/>
    <w:next w:val="Normal"/>
    <w:autoRedefine/>
    <w:uiPriority w:val="39"/>
    <w:unhideWhenUsed/>
    <w:rsid w:val="001472FD"/>
    <w:pPr>
      <w:spacing w:after="100" w:line="278" w:lineRule="auto"/>
      <w:ind w:left="1200"/>
    </w:pPr>
    <w:rPr>
      <w:rFonts w:asciiTheme="minorHAnsi" w:eastAsiaTheme="minorEastAsia" w:hAnsiTheme="minorHAnsi" w:cstheme="minorBidi"/>
      <w:kern w:val="2"/>
      <w:lang w:eastAsia="en-AU"/>
      <w14:ligatures w14:val="standardContextual"/>
    </w:rPr>
  </w:style>
  <w:style w:type="paragraph" w:styleId="TOC7">
    <w:name w:val="toc 7"/>
    <w:basedOn w:val="Normal"/>
    <w:next w:val="Normal"/>
    <w:autoRedefine/>
    <w:uiPriority w:val="39"/>
    <w:unhideWhenUsed/>
    <w:rsid w:val="001472FD"/>
    <w:pPr>
      <w:spacing w:after="100" w:line="278" w:lineRule="auto"/>
      <w:ind w:left="1440"/>
    </w:pPr>
    <w:rPr>
      <w:rFonts w:asciiTheme="minorHAnsi" w:eastAsiaTheme="minorEastAsia" w:hAnsiTheme="minorHAnsi" w:cstheme="minorBidi"/>
      <w:kern w:val="2"/>
      <w:lang w:eastAsia="en-AU"/>
      <w14:ligatures w14:val="standardContextual"/>
    </w:rPr>
  </w:style>
  <w:style w:type="paragraph" w:styleId="TOC8">
    <w:name w:val="toc 8"/>
    <w:basedOn w:val="Normal"/>
    <w:next w:val="Normal"/>
    <w:autoRedefine/>
    <w:uiPriority w:val="39"/>
    <w:unhideWhenUsed/>
    <w:rsid w:val="001472FD"/>
    <w:pPr>
      <w:spacing w:after="100" w:line="278" w:lineRule="auto"/>
      <w:ind w:left="1680"/>
    </w:pPr>
    <w:rPr>
      <w:rFonts w:asciiTheme="minorHAnsi" w:eastAsiaTheme="minorEastAsia" w:hAnsiTheme="minorHAnsi" w:cstheme="minorBidi"/>
      <w:kern w:val="2"/>
      <w:lang w:eastAsia="en-AU"/>
      <w14:ligatures w14:val="standardContextual"/>
    </w:rPr>
  </w:style>
  <w:style w:type="paragraph" w:styleId="TOC9">
    <w:name w:val="toc 9"/>
    <w:basedOn w:val="Normal"/>
    <w:next w:val="Normal"/>
    <w:autoRedefine/>
    <w:uiPriority w:val="39"/>
    <w:unhideWhenUsed/>
    <w:rsid w:val="001472FD"/>
    <w:pPr>
      <w:spacing w:after="100" w:line="278" w:lineRule="auto"/>
      <w:ind w:left="1920"/>
    </w:pPr>
    <w:rPr>
      <w:rFonts w:asciiTheme="minorHAnsi" w:eastAsiaTheme="minorEastAsia" w:hAnsiTheme="minorHAnsi" w:cstheme="minorBidi"/>
      <w:kern w:val="2"/>
      <w:lang w:eastAsia="en-AU"/>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6772362">
      <w:bodyDiv w:val="1"/>
      <w:marLeft w:val="0"/>
      <w:marRight w:val="0"/>
      <w:marTop w:val="0"/>
      <w:marBottom w:val="0"/>
      <w:divBdr>
        <w:top w:val="none" w:sz="0" w:space="0" w:color="auto"/>
        <w:left w:val="none" w:sz="0" w:space="0" w:color="auto"/>
        <w:bottom w:val="none" w:sz="0" w:space="0" w:color="auto"/>
        <w:right w:val="none" w:sz="0" w:space="0" w:color="auto"/>
      </w:divBdr>
    </w:div>
    <w:div w:id="21300807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consumerprotection.wa.gov.au/residential-parks-law-review" TargetMode="External"/><Relationship Id="rId18" Type="http://schemas.openxmlformats.org/officeDocument/2006/relationships/hyperlink" Target="https://www.consumerprotection.wa.gov.au/publications/park-living-information-booklet" TargetMode="External"/><Relationship Id="rId26" Type="http://schemas.openxmlformats.org/officeDocument/2006/relationships/hyperlink" Target="http://www.consumerprotection.wa.gov.au" TargetMode="External"/><Relationship Id="rId3" Type="http://schemas.openxmlformats.org/officeDocument/2006/relationships/numbering" Target="numbering.xml"/><Relationship Id="rId21" Type="http://schemas.openxmlformats.org/officeDocument/2006/relationships/hyperlink" Target="https://www.consumerprotection.wa.gov.au/publications/form-rp2c-information-notice-buyer" TargetMode="External"/><Relationship Id="rId7" Type="http://schemas.openxmlformats.org/officeDocument/2006/relationships/footnotes" Target="footnotes.xml"/><Relationship Id="rId12" Type="http://schemas.openxmlformats.org/officeDocument/2006/relationships/hyperlink" Target="https://www.consumerprotection.wa.gov.au/publications/park-living-information-booklet" TargetMode="External"/><Relationship Id="rId17" Type="http://schemas.openxmlformats.org/officeDocument/2006/relationships/hyperlink" Target="https://www.consumerprotection.wa.gov.au/publications/park-living-information-booklet" TargetMode="External"/><Relationship Id="rId25" Type="http://schemas.openxmlformats.org/officeDocument/2006/relationships/hyperlink" Target="mailto:consumer@lgirs.wa.gov.au" TargetMode="External"/><Relationship Id="rId2" Type="http://schemas.openxmlformats.org/officeDocument/2006/relationships/customXml" Target="../customXml/item2.xml"/><Relationship Id="rId16" Type="http://schemas.openxmlformats.org/officeDocument/2006/relationships/hyperlink" Target="https://www.consumerprotection.wa.gov.au/residential-parks-law-review" TargetMode="External"/><Relationship Id="rId20" Type="http://schemas.openxmlformats.org/officeDocument/2006/relationships/hyperlink" Target="https://www.consumerprotection.wa.gov.au/publications/park-living-information-booklet"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www.lgirs.wa.gov.au" TargetMode="External"/><Relationship Id="rId5" Type="http://schemas.openxmlformats.org/officeDocument/2006/relationships/settings" Target="settings.xml"/><Relationship Id="rId15" Type="http://schemas.openxmlformats.org/officeDocument/2006/relationships/hyperlink" Target="https://consultation.dmirs.wa.gov.au/consumer-protection/residential-park-review/" TargetMode="External"/><Relationship Id="rId23" Type="http://schemas.openxmlformats.org/officeDocument/2006/relationships/footer" Target="footer2.xml"/><Relationship Id="rId28" Type="http://schemas.openxmlformats.org/officeDocument/2006/relationships/footer" Target="footer3.xml"/><Relationship Id="rId10" Type="http://schemas.openxmlformats.org/officeDocument/2006/relationships/header" Target="header2.xml"/><Relationship Id="rId19" Type="http://schemas.openxmlformats.org/officeDocument/2006/relationships/hyperlink" Target="https://www.consumerprotection.wa.gov.au/publications/form-rp2b-information-tenant-voluntary-sharing-arrangements-examples" TargetMode="Externa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mailto:consultations@lgirs.wa.gov.au" TargetMode="External"/><Relationship Id="rId22" Type="http://schemas.openxmlformats.org/officeDocument/2006/relationships/header" Target="header3.xml"/><Relationship Id="rId27" Type="http://schemas.openxmlformats.org/officeDocument/2006/relationships/header" Target="header4.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footer3.xml.rels><?xml version="1.0" encoding="UTF-8" standalone="yes"?>
<Relationships xmlns="http://schemas.openxmlformats.org/package/2006/relationships"><Relationship Id="rId1" Type="http://schemas.openxmlformats.org/officeDocument/2006/relationships/image" Target="media/image4.jpg"/></Relationships>
</file>

<file path=word/_rels/footnotes.xml.rels><?xml version="1.0" encoding="UTF-8" standalone="yes"?>
<Relationships xmlns="http://schemas.openxmlformats.org/package/2006/relationships"><Relationship Id="rId8" Type="http://schemas.openxmlformats.org/officeDocument/2006/relationships/hyperlink" Target="https://www.consumerprotection.wa.gov.au/rent-increases" TargetMode="External"/><Relationship Id="rId13" Type="http://schemas.openxmlformats.org/officeDocument/2006/relationships/hyperlink" Target="https://www.consumerprotection.wa.gov.au/commissioner-determinations" TargetMode="External"/><Relationship Id="rId18" Type="http://schemas.openxmlformats.org/officeDocument/2006/relationships/hyperlink" Target="https://www.sa.gov.au/topics/housing/renting-and-letting/renting-privately/residential-park-tenancies/residential-parks-register" TargetMode="External"/><Relationship Id="rId3" Type="http://schemas.openxmlformats.org/officeDocument/2006/relationships/hyperlink" Target="https://www.consumerprotection.wa.gov.au/residential-parks-publications" TargetMode="External"/><Relationship Id="rId21" Type="http://schemas.openxmlformats.org/officeDocument/2006/relationships/hyperlink" Target="https://www.consumerprotection.wa.gov.au/publications/update-wa-retirement-village-laws-retirement-villages-bulletin-11" TargetMode="External"/><Relationship Id="rId7" Type="http://schemas.openxmlformats.org/officeDocument/2006/relationships/hyperlink" Target="http://www.consumerprotection.wa.gov.au/residential-parks-publications" TargetMode="External"/><Relationship Id="rId12" Type="http://schemas.openxmlformats.org/officeDocument/2006/relationships/hyperlink" Target="https://www.sat.justice.wa.gov.au/_files/SAT_Annual_Report_2024.pdf" TargetMode="External"/><Relationship Id="rId17" Type="http://schemas.openxmlformats.org/officeDocument/2006/relationships/hyperlink" Target="https://data.nsw.gov.au/data/dataset/residential-land-lease-communities/resource/70d84fc1-bf77-47cd-836a-9884c5506d93" TargetMode="External"/><Relationship Id="rId2" Type="http://schemas.openxmlformats.org/officeDocument/2006/relationships/hyperlink" Target="https://cprc.org.au/report/life-in-residential-parks" TargetMode="External"/><Relationship Id="rId16" Type="http://schemas.openxmlformats.org/officeDocument/2006/relationships/hyperlink" Target="https://www.austlii.edu.au/cgi-bin/viewdoc/au/cases/vic/VCAT/2025/590.html?context=1;query=lifestyle%20villages;mask_path=" TargetMode="External"/><Relationship Id="rId20" Type="http://schemas.openxmlformats.org/officeDocument/2006/relationships/hyperlink" Target="https://cprc.org.au/report/life-in-residential-parks" TargetMode="External"/><Relationship Id="rId1" Type="http://schemas.openxmlformats.org/officeDocument/2006/relationships/hyperlink" Target="https://www.wa.gov.au/government/announcements/changes-residential-parks-laws-offer-greater-certainty" TargetMode="External"/><Relationship Id="rId6" Type="http://schemas.openxmlformats.org/officeDocument/2006/relationships/hyperlink" Target="https://www.consumerprotection.wa.gov.au/residential-parks-publications" TargetMode="External"/><Relationship Id="rId11" Type="http://schemas.openxmlformats.org/officeDocument/2006/relationships/hyperlink" Target="https://www.consumerprotection.wa.gov.au/complaints" TargetMode="External"/><Relationship Id="rId5" Type="http://schemas.openxmlformats.org/officeDocument/2006/relationships/hyperlink" Target="https://www.business.qld.gov.au/industries/service-industries-professionals/housing-accommodation/managing-manufactured-homes/forms-residential-park" TargetMode="External"/><Relationship Id="rId15" Type="http://schemas.openxmlformats.org/officeDocument/2006/relationships/hyperlink" Target="https://www.consumerprotection.wa.gov.au/residential-parks-publications" TargetMode="External"/><Relationship Id="rId23" Type="http://schemas.openxmlformats.org/officeDocument/2006/relationships/hyperlink" Target="https://www.consumerprotection.wa.gov.au/residential-tenancies-act-review" TargetMode="External"/><Relationship Id="rId10" Type="http://schemas.openxmlformats.org/officeDocument/2006/relationships/hyperlink" Target="https://www.consumerprotection.wa.gov.au/electricity-charges-residential-parks" TargetMode="External"/><Relationship Id="rId19" Type="http://schemas.openxmlformats.org/officeDocument/2006/relationships/hyperlink" Target="https://www.data.qld.gov.au/dataset/residential-parks-manufactured-homes-department-of-communities-housing-and-digital-economy" TargetMode="External"/><Relationship Id="rId4" Type="http://schemas.openxmlformats.org/officeDocument/2006/relationships/hyperlink" Target="https://www.fairtrading.nsw.gov.au/help-centre/forms" TargetMode="External"/><Relationship Id="rId9" Type="http://schemas.openxmlformats.org/officeDocument/2006/relationships/hyperlink" Target="https://www.abs.gov.au/statistics/detailed-methodology-information/concepts-sources-methods/consumer-price-index-concepts-sources-and-methods/latest-release" TargetMode="External"/><Relationship Id="rId14" Type="http://schemas.openxmlformats.org/officeDocument/2006/relationships/hyperlink" Target="http://www.consumerprotection.wa.gov.au/residential-parks-publications" TargetMode="External"/><Relationship Id="rId22" Type="http://schemas.openxmlformats.org/officeDocument/2006/relationships/hyperlink" Target="https://www.wa.gov.au/organisation/department-of-local-government-industry-regulation-and-safety/short-term-rental-accommodation-registe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DEMIRS 2025">
      <a:dk1>
        <a:sysClr val="windowText" lastClr="000000"/>
      </a:dk1>
      <a:lt1>
        <a:sysClr val="window" lastClr="FFFFFF"/>
      </a:lt1>
      <a:dk2>
        <a:srgbClr val="45415D"/>
      </a:dk2>
      <a:lt2>
        <a:srgbClr val="FFFFFF"/>
      </a:lt2>
      <a:accent1>
        <a:srgbClr val="007F84"/>
      </a:accent1>
      <a:accent2>
        <a:srgbClr val="B3AD7A"/>
      </a:accent2>
      <a:accent3>
        <a:srgbClr val="97D3B8"/>
      </a:accent3>
      <a:accent4>
        <a:srgbClr val="F15F45"/>
      </a:accent4>
      <a:accent5>
        <a:srgbClr val="F7E100"/>
      </a:accent5>
      <a:accent6>
        <a:srgbClr val="00C0E1"/>
      </a:accent6>
      <a:hlink>
        <a:srgbClr val="58595B"/>
      </a:hlink>
      <a:folHlink>
        <a:srgbClr val="DCDDDE"/>
      </a:folHlink>
    </a:clrScheme>
    <a:fontScheme name="MR">
      <a:majorFont>
        <a:latin typeface="Helvetica"/>
        <a:ea typeface=""/>
        <a:cs typeface=""/>
      </a:majorFont>
      <a:minorFont>
        <a:latin typeface="Helvetic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data xmlns="http://www.objective.com/ecm/document/metadata/65F1F92071475276E05315230A0A9CBF" version="1.0.0">
  <systemFields>
    <field name="Objective-Id">
      <value order="0">A101936193</value>
    </field>
    <field name="Objective-Title">
      <value order="0">Attachment 1 - Discussion Paper - Statutory Review of Residential Parks (Long stay) Tenants Act 2006</value>
    </field>
    <field name="Objective-Description">
      <value order="0"/>
    </field>
    <field name="Objective-CreationStamp">
      <value order="0">2025-12-18T04:50:28Z</value>
    </field>
    <field name="Objective-IsApproved">
      <value order="0">false</value>
    </field>
    <field name="Objective-IsPublished">
      <value order="0">true</value>
    </field>
    <field name="Objective-DatePublished">
      <value order="0">2026-01-28T01:02:32Z</value>
    </field>
    <field name="Objective-ModificationStamp">
      <value order="0">2026-01-28T01:02:32Z</value>
    </field>
    <field name="Objective-Owner">
      <value order="0">BULLOCK, Matt</value>
    </field>
    <field name="Objective-Path">
      <value order="0">DEMIRS Global Folder:02 Corporate File Plan:LGIRS - Corporate Services and Labour Relations Group:Corporate Services:Classified Object:Classified Object:Classified Object:Ministerial:# 2025:LGIRS - CPLS - Consumer Protection - 2025:80-26204 - BN - Discussion paper - Review of the Residential Parks (Long-stay Tenants) Act 2006 - D134916</value>
    </field>
    <field name="Objective-Parent">
      <value order="0">80-26204 - BN - Discussion paper - Review of the Residential Parks (Long-stay Tenants) Act 2006 - D134916</value>
    </field>
    <field name="Objective-State">
      <value order="0">Published</value>
    </field>
    <field name="Objective-VersionId">
      <value order="0">vA113368453</value>
    </field>
    <field name="Objective-Version">
      <value order="0">44.0</value>
    </field>
    <field name="Objective-VersionNumber">
      <value order="0">44</value>
    </field>
    <field name="Objective-VersionComment">
      <value order="0"/>
    </field>
    <field name="Objective-FileNumber">
      <value order="0">DMS09018/2025</value>
    </field>
    <field name="Objective-Classification">
      <value order="0">OFFICIAL</value>
    </field>
    <field name="Objective-Caveats">
      <value order="0"/>
    </field>
  </systemFields>
  <catalogues>
    <catalogue name="Divisional Document Type Catalogue" type="type" ori="id:cA39">
      <field name="Objective-Divisional Document Types">
        <value order="0"/>
      </field>
      <field name="Objective-Warning">
        <value order="0"/>
      </field>
      <field name="Objective-Author">
        <value order="0"/>
      </field>
      <field name="Objective-Date of Document">
        <value order="0"/>
      </field>
      <field name="Objective-External Reference">
        <value order="0"/>
      </field>
      <field name="Objective-Internal Reference">
        <value order="0"/>
      </field>
      <field name="Objective-Archive Box">
        <value order="0"/>
      </field>
      <field name="Objective-Migrated Id">
        <value order="0"/>
      </field>
      <field name="Objective-Foreign Barcode">
        <value order="0"/>
      </field>
      <field name="Objective-PCI DSS Checked">
        <value order="0"/>
      </field>
      <field name="Objective-End User">
        <value order="0"/>
      </field>
      <field name="Objective-Additional File Numbers">
        <value order="0"/>
      </field>
      <field name="Objective-Record Number">
        <value order="0"/>
      </field>
      <field name="Objective-Graphic Content">
        <value order="0"/>
      </field>
    </catalogue>
  </catalogues>
</meta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45109E-2DDF-40CB-AC2B-FF9B10C90820}">
  <ds:schemaRefs>
    <ds:schemaRef ds:uri="http://www.objective.com/ecm/document/metadata/65F1F92071475276E05315230A0A9CBF"/>
  </ds:schemaRefs>
</ds:datastoreItem>
</file>

<file path=customXml/itemProps2.xml><?xml version="1.0" encoding="utf-8"?>
<ds:datastoreItem xmlns:ds="http://schemas.openxmlformats.org/officeDocument/2006/customXml" ds:itemID="{BD741C69-DFCF-4EE5-8D6F-465EE78223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10042</Words>
  <Characters>53134</Characters>
  <Application>Microsoft Office Word</Application>
  <DocSecurity>0</DocSecurity>
  <Lines>1175</Lines>
  <Paragraphs>586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62795</CharactersWithSpaces>
  <SharedDoc>false</SharedDoc>
  <HLinks>
    <vt:vector size="6" baseType="variant">
      <vt:variant>
        <vt:i4>7405635</vt:i4>
      </vt:variant>
      <vt:variant>
        <vt:i4>-1</vt:i4>
      </vt:variant>
      <vt:variant>
        <vt:i4>1029</vt:i4>
      </vt:variant>
      <vt:variant>
        <vt:i4>1</vt:i4>
      </vt:variant>
      <vt:variant>
        <vt:lpwstr>ROC Letterhead 7 blank name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2026-02-17T01:51:00Z</dcterms:created>
  <dcterms:modified xsi:type="dcterms:W3CDTF">2026-02-17T07:37:00Z</dcterms:modified>
</cp:coreProperties>
</file>